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997A00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CC39DC" w:rsidRPr="00EA4D78" w:rsidRDefault="009F3948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9F3948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Pr="009F3948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9F3948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9F3948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9F3948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9F3948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9F3948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CC39DC" w:rsidRPr="00EA4D78" w:rsidRDefault="00FA5C07" w:rsidP="00CC39DC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CC39DC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CC39DC" w:rsidRPr="00AB4AF7" w:rsidRDefault="00DA6F57" w:rsidP="00233701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</w:t>
            </w:r>
            <w:r w:rsidR="00CC39DC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233701">
              <w:rPr>
                <w:b/>
                <w:i/>
                <w:color w:val="000000"/>
                <w:sz w:val="22"/>
                <w:szCs w:val="22"/>
              </w:rPr>
              <w:t>04</w:t>
            </w:r>
            <w:r w:rsidR="00CC39DC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233701">
              <w:rPr>
                <w:b/>
                <w:i/>
                <w:color w:val="000000"/>
                <w:sz w:val="22"/>
                <w:szCs w:val="22"/>
              </w:rPr>
              <w:t>5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DB49FD" w:rsidRDefault="007F673C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115F16">
              <w:rPr>
                <w:sz w:val="22"/>
                <w:szCs w:val="22"/>
              </w:rPr>
              <w:t>И</w:t>
            </w:r>
            <w:r w:rsidR="00115F16" w:rsidRPr="00115F16">
              <w:rPr>
                <w:sz w:val="22"/>
                <w:szCs w:val="22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D504FC">
              <w:rPr>
                <w:sz w:val="22"/>
                <w:szCs w:val="22"/>
              </w:rPr>
              <w:t xml:space="preserve">: </w:t>
            </w:r>
            <w:r w:rsidR="00AB4AF7">
              <w:rPr>
                <w:b/>
                <w:bCs/>
                <w:i/>
                <w:iCs/>
                <w:sz w:val="22"/>
                <w:szCs w:val="22"/>
              </w:rPr>
              <w:t>б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иржевые облигации неконвертируемые процентные документарные на предъявителя с обязательным централизованным хранением с обеспечением серии БО-01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 xml:space="preserve">в количестве 10 000 000 (Десять миллионов) штук номинальной стоимостью 1 000 (Одна тысяча) рублей каждая общей номинальной стоимостью 10 000 000 000 (Десять миллиардов) рублей со сроком погашения в 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6415D0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640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-й (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Три тысячи шестьсот сороковой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) день с даты начала размещения биржевых облигаций выпуска, размещ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подписке, c возможностью досрочного погашения по требованию владельцев и по усмотрению Эмитента.</w:t>
            </w:r>
            <w:r w:rsidR="00D504FC">
              <w:rPr>
                <w:b/>
                <w:i/>
                <w:sz w:val="22"/>
                <w:szCs w:val="22"/>
              </w:rPr>
              <w:t xml:space="preserve"> </w:t>
            </w:r>
          </w:p>
          <w:p w:rsidR="00DB49FD" w:rsidRDefault="00D504FC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>дентификационный номер выпуска ценных бумаг 4B02-01-20075-F от 23.08.2012.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36235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</w:p>
          <w:p w:rsidR="00373502" w:rsidRDefault="00362352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66A0B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</w:t>
            </w:r>
            <w:r w:rsidRPr="00362352">
              <w:rPr>
                <w:b/>
                <w:bCs/>
                <w:i/>
                <w:iCs/>
                <w:sz w:val="22"/>
                <w:szCs w:val="22"/>
              </w:rPr>
              <w:t xml:space="preserve"> DBVGFB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CC39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3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="006415D0">
              <w:rPr>
                <w:b/>
                <w:sz w:val="22"/>
                <w:szCs w:val="22"/>
              </w:rPr>
              <w:t xml:space="preserve"> </w:t>
            </w:r>
            <w:r w:rsidR="00233701">
              <w:rPr>
                <w:b/>
                <w:bCs/>
                <w:i/>
                <w:iCs/>
                <w:sz w:val="22"/>
                <w:szCs w:val="22"/>
              </w:rPr>
              <w:t>восемнадцаты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3701">
              <w:rPr>
                <w:b/>
                <w:bCs/>
                <w:i/>
                <w:iCs/>
                <w:sz w:val="22"/>
                <w:szCs w:val="22"/>
              </w:rPr>
              <w:t>08.10</w:t>
            </w:r>
            <w:r w:rsidR="00DA6F57" w:rsidRPr="00DA6F57">
              <w:rPr>
                <w:b/>
                <w:bCs/>
                <w:i/>
                <w:iCs/>
                <w:sz w:val="22"/>
                <w:szCs w:val="22"/>
              </w:rPr>
              <w:t>.2024</w:t>
            </w:r>
            <w:r w:rsidR="0023370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по </w:t>
            </w:r>
            <w:r w:rsidR="00AB4AF7" w:rsidRPr="00AB4AF7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8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233701">
              <w:rPr>
                <w:b/>
                <w:bCs/>
                <w:i/>
                <w:iCs/>
                <w:sz w:val="22"/>
                <w:szCs w:val="22"/>
              </w:rPr>
              <w:t>04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233701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9D7C78">
              <w:rPr>
                <w:b/>
                <w:bCs/>
                <w:i/>
                <w:iCs/>
                <w:sz w:val="22"/>
                <w:szCs w:val="22"/>
              </w:rPr>
              <w:t>восемнадцатый</w:t>
            </w:r>
            <w:r w:rsidR="009D7C78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1 </w:t>
            </w:r>
            <w:r w:rsidR="007B6366">
              <w:rPr>
                <w:b/>
                <w:i/>
                <w:sz w:val="22"/>
                <w:szCs w:val="22"/>
              </w:rPr>
              <w:t>513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4276AA"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дна</w:t>
            </w:r>
            <w:r w:rsidRPr="008F53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тысяча </w:t>
            </w:r>
            <w:r w:rsidR="007B6366">
              <w:rPr>
                <w:b/>
                <w:i/>
                <w:sz w:val="22"/>
                <w:szCs w:val="22"/>
              </w:rPr>
              <w:t>пятьсот тринадцать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344024">
              <w:rPr>
                <w:b/>
                <w:i/>
                <w:sz w:val="22"/>
                <w:szCs w:val="22"/>
              </w:rPr>
              <w:t xml:space="preserve">15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9D7C78">
              <w:rPr>
                <w:b/>
                <w:bCs/>
                <w:i/>
                <w:iCs/>
                <w:sz w:val="22"/>
                <w:szCs w:val="22"/>
              </w:rPr>
              <w:t>восемнадцатый</w:t>
            </w:r>
            <w:r w:rsidR="009D7C78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0408E4">
              <w:rPr>
                <w:b/>
                <w:i/>
                <w:sz w:val="22"/>
                <w:szCs w:val="22"/>
              </w:rPr>
              <w:t>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4276AA">
              <w:rPr>
                <w:b/>
                <w:i/>
                <w:sz w:val="22"/>
                <w:szCs w:val="22"/>
              </w:rPr>
              <w:t>Н</w:t>
            </w:r>
            <w:r w:rsidR="000408E4">
              <w:rPr>
                <w:b/>
                <w:i/>
                <w:sz w:val="22"/>
                <w:szCs w:val="22"/>
              </w:rPr>
              <w:t>оль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0408E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0</w:t>
            </w:r>
            <w:r w:rsidR="000408E4">
              <w:rPr>
                <w:b/>
                <w:i/>
                <w:sz w:val="22"/>
                <w:szCs w:val="22"/>
              </w:rPr>
              <w:t xml:space="preserve">5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2912C1">
              <w:rPr>
                <w:b/>
                <w:i/>
                <w:sz w:val="22"/>
                <w:szCs w:val="22"/>
              </w:rPr>
              <w:t>30 </w:t>
            </w:r>
            <w:r w:rsidR="00344024">
              <w:rPr>
                <w:b/>
                <w:i/>
                <w:sz w:val="22"/>
                <w:szCs w:val="22"/>
              </w:rPr>
              <w:t xml:space="preserve">263 </w:t>
            </w:r>
            <w:r w:rsidR="00934E62">
              <w:rPr>
                <w:b/>
                <w:i/>
                <w:sz w:val="22"/>
                <w:szCs w:val="22"/>
              </w:rPr>
              <w:t xml:space="preserve">(Тридцать тысяч двести шестьдесят три)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934E62">
              <w:rPr>
                <w:b/>
                <w:i/>
                <w:sz w:val="22"/>
                <w:szCs w:val="22"/>
              </w:rPr>
              <w:t>и</w:t>
            </w:r>
            <w:r w:rsidRPr="00934E62">
              <w:rPr>
                <w:b/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08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233701">
              <w:rPr>
                <w:b/>
                <w:bCs/>
                <w:i/>
                <w:iCs/>
                <w:sz w:val="22"/>
                <w:szCs w:val="22"/>
              </w:rPr>
              <w:t>04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233701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6415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 w:rsidR="00115F16">
              <w:rPr>
                <w:sz w:val="22"/>
                <w:szCs w:val="22"/>
              </w:rPr>
              <w:t>О</w:t>
            </w:r>
            <w:r w:rsidR="00115F16" w:rsidRPr="00115F16">
              <w:rPr>
                <w:sz w:val="22"/>
                <w:szCs w:val="22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19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432"/>
        <w:gridCol w:w="198"/>
        <w:gridCol w:w="1410"/>
        <w:gridCol w:w="228"/>
        <w:gridCol w:w="709"/>
        <w:gridCol w:w="2525"/>
        <w:gridCol w:w="27"/>
        <w:gridCol w:w="3402"/>
      </w:tblGrid>
      <w:tr w:rsidR="0080633A" w:rsidRPr="00EA4D78" w:rsidTr="00FA5C07">
        <w:trPr>
          <w:cantSplit/>
          <w:trHeight w:val="284"/>
        </w:trPr>
        <w:tc>
          <w:tcPr>
            <w:tcW w:w="10198" w:type="dxa"/>
            <w:gridSpan w:val="9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FA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44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D7C78" w:rsidRPr="00685BAB" w:rsidRDefault="009D7C78" w:rsidP="009D7C78">
            <w:pPr>
              <w:ind w:left="142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 xml:space="preserve">3.1. </w:t>
            </w:r>
            <w:r w:rsidRPr="00685BAB">
              <w:rPr>
                <w:sz w:val="22"/>
                <w:szCs w:val="22"/>
              </w:rPr>
              <w:t>Заместитель генерального директора</w:t>
            </w:r>
          </w:p>
          <w:p w:rsidR="009D7C78" w:rsidRPr="00685BAB" w:rsidRDefault="009D7C78" w:rsidP="009D7C78">
            <w:pPr>
              <w:ind w:left="142"/>
              <w:rPr>
                <w:sz w:val="22"/>
                <w:szCs w:val="22"/>
              </w:rPr>
            </w:pPr>
            <w:r w:rsidRPr="00685BAB">
              <w:rPr>
                <w:sz w:val="22"/>
                <w:szCs w:val="22"/>
              </w:rPr>
              <w:t>по оперативному управлению</w:t>
            </w:r>
          </w:p>
          <w:p w:rsidR="007F673C" w:rsidRPr="00EA4D78" w:rsidRDefault="009D7C78" w:rsidP="009F3948">
            <w:pPr>
              <w:ind w:left="57"/>
              <w:rPr>
                <w:sz w:val="22"/>
                <w:szCs w:val="22"/>
              </w:rPr>
            </w:pPr>
            <w:r w:rsidRPr="00CC3EC4">
              <w:rPr>
                <w:sz w:val="18"/>
                <w:szCs w:val="22"/>
              </w:rPr>
              <w:t>(по доверенности № РАМ-ДВ-24-0334 от 22.11.2024)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9F3948" w:rsidRDefault="009F3948" w:rsidP="001E6D18">
            <w:pPr>
              <w:rPr>
                <w:sz w:val="22"/>
                <w:szCs w:val="22"/>
              </w:rPr>
            </w:pPr>
          </w:p>
          <w:p w:rsidR="009F3948" w:rsidRPr="00FA5C07" w:rsidRDefault="00FA5C07" w:rsidP="00FA5C07">
            <w:pPr>
              <w:ind w:left="14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FA5C07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="009D7C78">
              <w:rPr>
                <w:sz w:val="22"/>
                <w:szCs w:val="22"/>
              </w:rPr>
              <w:t>И.Н. Волохов</w:t>
            </w:r>
          </w:p>
        </w:tc>
      </w:tr>
      <w:tr w:rsidR="0080633A" w:rsidRPr="00EA4D78" w:rsidTr="00FA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4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9F394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  <w:bookmarkStart w:id="0" w:name="_GoBack"/>
            <w:bookmarkEnd w:id="0"/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FA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FA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FA5C07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7F673C" w:rsidRPr="00EA4D78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7F673C"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8E3FA2" w:rsidRDefault="00DA6F57" w:rsidP="008E3F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233701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233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33701">
              <w:rPr>
                <w:sz w:val="22"/>
                <w:szCs w:val="22"/>
              </w:rPr>
              <w:t>5</w:t>
            </w:r>
            <w:r w:rsidR="00FA5C07" w:rsidRPr="00EA4D78">
              <w:rPr>
                <w:sz w:val="22"/>
                <w:szCs w:val="22"/>
              </w:rPr>
              <w:t xml:space="preserve"> </w:t>
            </w:r>
            <w:r w:rsidR="00FA5C07" w:rsidRPr="00EA4D78">
              <w:rPr>
                <w:sz w:val="22"/>
                <w:szCs w:val="22"/>
              </w:rPr>
              <w:t>г.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FA5C07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ab/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64D02"/>
    <w:rsid w:val="00077906"/>
    <w:rsid w:val="000A08E2"/>
    <w:rsid w:val="000F0D43"/>
    <w:rsid w:val="00115F16"/>
    <w:rsid w:val="00134E6C"/>
    <w:rsid w:val="0016222D"/>
    <w:rsid w:val="00176389"/>
    <w:rsid w:val="00194CCF"/>
    <w:rsid w:val="001A6DCB"/>
    <w:rsid w:val="001D0031"/>
    <w:rsid w:val="001D3936"/>
    <w:rsid w:val="001F2D69"/>
    <w:rsid w:val="002040BA"/>
    <w:rsid w:val="00233701"/>
    <w:rsid w:val="002912C1"/>
    <w:rsid w:val="002C436A"/>
    <w:rsid w:val="002C436F"/>
    <w:rsid w:val="002C5F1D"/>
    <w:rsid w:val="002F119C"/>
    <w:rsid w:val="002F1403"/>
    <w:rsid w:val="00344024"/>
    <w:rsid w:val="00362352"/>
    <w:rsid w:val="0036369C"/>
    <w:rsid w:val="0036753F"/>
    <w:rsid w:val="00373502"/>
    <w:rsid w:val="00382C41"/>
    <w:rsid w:val="003B708A"/>
    <w:rsid w:val="004276AA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11A15"/>
    <w:rsid w:val="00631167"/>
    <w:rsid w:val="006415D0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0DA8"/>
    <w:rsid w:val="008636EA"/>
    <w:rsid w:val="008C72F8"/>
    <w:rsid w:val="008E3FA2"/>
    <w:rsid w:val="008F53A2"/>
    <w:rsid w:val="00934E62"/>
    <w:rsid w:val="009447C1"/>
    <w:rsid w:val="00997A00"/>
    <w:rsid w:val="009C2272"/>
    <w:rsid w:val="009D7C78"/>
    <w:rsid w:val="009F3948"/>
    <w:rsid w:val="00A14013"/>
    <w:rsid w:val="00A23E55"/>
    <w:rsid w:val="00A31793"/>
    <w:rsid w:val="00A60393"/>
    <w:rsid w:val="00A6486E"/>
    <w:rsid w:val="00AB4AF7"/>
    <w:rsid w:val="00AC3709"/>
    <w:rsid w:val="00AD2926"/>
    <w:rsid w:val="00AF207E"/>
    <w:rsid w:val="00BB62B7"/>
    <w:rsid w:val="00BE7DF0"/>
    <w:rsid w:val="00BF0A5E"/>
    <w:rsid w:val="00C4776E"/>
    <w:rsid w:val="00C84AAB"/>
    <w:rsid w:val="00CA3A68"/>
    <w:rsid w:val="00CB66BB"/>
    <w:rsid w:val="00CC39DC"/>
    <w:rsid w:val="00CC6F90"/>
    <w:rsid w:val="00CF0379"/>
    <w:rsid w:val="00CF5CD6"/>
    <w:rsid w:val="00D0410F"/>
    <w:rsid w:val="00D10F4C"/>
    <w:rsid w:val="00D10FB7"/>
    <w:rsid w:val="00D343C5"/>
    <w:rsid w:val="00D3698D"/>
    <w:rsid w:val="00D504FC"/>
    <w:rsid w:val="00D96359"/>
    <w:rsid w:val="00DA6F57"/>
    <w:rsid w:val="00DB49FD"/>
    <w:rsid w:val="00DF0F42"/>
    <w:rsid w:val="00E053D9"/>
    <w:rsid w:val="00E75463"/>
    <w:rsid w:val="00EA249E"/>
    <w:rsid w:val="00EA4D78"/>
    <w:rsid w:val="00EC2F34"/>
    <w:rsid w:val="00F03A7C"/>
    <w:rsid w:val="00F15678"/>
    <w:rsid w:val="00F22B42"/>
    <w:rsid w:val="00F31C18"/>
    <w:rsid w:val="00F928C8"/>
    <w:rsid w:val="00FA4831"/>
    <w:rsid w:val="00FA5C07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5B13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C4AB-9BF0-4CF8-A745-F29992D5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4</cp:revision>
  <cp:lastPrinted>2025-04-08T05:17:00Z</cp:lastPrinted>
  <dcterms:created xsi:type="dcterms:W3CDTF">2025-04-08T06:07:00Z</dcterms:created>
  <dcterms:modified xsi:type="dcterms:W3CDTF">2025-04-08T07:04:00Z</dcterms:modified>
</cp:coreProperties>
</file>