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19324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19324F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19324F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19324F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07269F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4B6E01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DF6A21" w:rsidRDefault="00DF6A21" w:rsidP="00DF6A21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07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03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серия </w:t>
            </w:r>
            <w:r w:rsidR="0007269F" w:rsidRPr="00FA40DC">
              <w:rPr>
                <w:sz w:val="22"/>
                <w:szCs w:val="22"/>
              </w:rPr>
              <w:t>(при наличии)</w:t>
            </w:r>
            <w:r w:rsidR="0007269F" w:rsidRPr="0007269F">
              <w:rPr>
                <w:sz w:val="22"/>
                <w:szCs w:val="22"/>
              </w:rPr>
              <w:t xml:space="preserve"> </w:t>
            </w:r>
            <w:r w:rsidR="00E053D9" w:rsidRPr="00E053D9">
              <w:rPr>
                <w:sz w:val="22"/>
                <w:szCs w:val="22"/>
              </w:rPr>
              <w:t>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процентные </w:t>
            </w:r>
            <w:r w:rsidR="00055F32" w:rsidRPr="00A60393">
              <w:rPr>
                <w:b/>
                <w:bCs/>
                <w:i/>
                <w:iCs/>
                <w:sz w:val="22"/>
                <w:szCs w:val="22"/>
              </w:rPr>
              <w:t xml:space="preserve">неконвертируемые </w:t>
            </w:r>
            <w:r w:rsidR="00055F32" w:rsidRPr="00055F32">
              <w:rPr>
                <w:b/>
                <w:bCs/>
                <w:i/>
                <w:iCs/>
                <w:sz w:val="22"/>
                <w:szCs w:val="22"/>
              </w:rPr>
              <w:t>бездокументарные с централизованным учетом прав серии</w:t>
            </w:r>
            <w:r w:rsidR="00055F3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Р-0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</w:t>
            </w:r>
            <w:r w:rsidR="00107A98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Р, имеющей </w:t>
            </w:r>
            <w:r w:rsidR="00A347B2" w:rsidRPr="00A347B2">
              <w:rPr>
                <w:b/>
                <w:bCs/>
                <w:i/>
                <w:iCs/>
                <w:sz w:val="22"/>
                <w:szCs w:val="22"/>
              </w:rPr>
              <w:t>регистрационный номер 4-20075-F-002P-02E от 06.04.2020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RU000A101S81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8531DB" w:rsidRPr="008531DB">
              <w:rPr>
                <w:b/>
                <w:i/>
                <w:sz w:val="22"/>
                <w:szCs w:val="22"/>
              </w:rPr>
              <w:t>4B02-01-20075-F-002P от 04.06.2020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07269F" w:rsidRPr="0007269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DF6A21">
              <w:rPr>
                <w:b/>
                <w:bCs/>
                <w:i/>
                <w:iCs/>
                <w:sz w:val="22"/>
                <w:szCs w:val="22"/>
              </w:rPr>
              <w:t>одиннадцатый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92A08">
              <w:rPr>
                <w:b/>
                <w:bCs/>
                <w:i/>
                <w:iCs/>
                <w:sz w:val="22"/>
                <w:szCs w:val="22"/>
              </w:rPr>
              <w:t>06.</w:t>
            </w:r>
            <w:r w:rsidR="00DF6A21" w:rsidRPr="00DF6A21">
              <w:rPr>
                <w:b/>
                <w:bCs/>
                <w:i/>
                <w:iCs/>
                <w:sz w:val="22"/>
                <w:szCs w:val="22"/>
              </w:rPr>
              <w:t>12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DF6A21" w:rsidRPr="00DF6A21">
              <w:rPr>
                <w:b/>
                <w:bCs/>
                <w:i/>
                <w:iCs/>
                <w:sz w:val="22"/>
                <w:szCs w:val="22"/>
              </w:rPr>
              <w:t>7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DF6A21" w:rsidRPr="00DF6A21">
              <w:rPr>
                <w:b/>
                <w:bCs/>
                <w:i/>
                <w:iCs/>
                <w:sz w:val="22"/>
                <w:szCs w:val="22"/>
              </w:rPr>
              <w:t>03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DF6A21" w:rsidRPr="00DF6A21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DF6A21">
              <w:rPr>
                <w:b/>
                <w:bCs/>
                <w:i/>
                <w:iCs/>
                <w:sz w:val="22"/>
                <w:szCs w:val="22"/>
              </w:rPr>
              <w:t>одиннадцатый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162 100 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8531DB">
              <w:rPr>
                <w:b/>
                <w:i/>
                <w:sz w:val="22"/>
                <w:szCs w:val="22"/>
              </w:rPr>
              <w:t>сто шестьдесят два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8531DB">
              <w:rPr>
                <w:b/>
                <w:i/>
                <w:sz w:val="22"/>
                <w:szCs w:val="22"/>
              </w:rPr>
              <w:t>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сто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DF6A21">
              <w:rPr>
                <w:b/>
                <w:bCs/>
                <w:i/>
                <w:iCs/>
                <w:sz w:val="22"/>
                <w:szCs w:val="22"/>
              </w:rPr>
              <w:t>одиннадцатый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8531DB">
              <w:rPr>
                <w:b/>
                <w:i/>
                <w:sz w:val="22"/>
                <w:szCs w:val="22"/>
              </w:rPr>
              <w:t>16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8531DB">
              <w:rPr>
                <w:b/>
                <w:i/>
                <w:sz w:val="22"/>
                <w:szCs w:val="22"/>
              </w:rPr>
              <w:t>шестнадцать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FC70D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21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</w:t>
            </w:r>
            <w:r w:rsidR="00FA2EE7">
              <w:rPr>
                <w:b/>
                <w:i/>
                <w:sz w:val="22"/>
                <w:szCs w:val="22"/>
              </w:rPr>
              <w:t>йка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</w:t>
            </w:r>
            <w:r w:rsidR="008531DB">
              <w:rPr>
                <w:b/>
                <w:i/>
                <w:sz w:val="22"/>
                <w:szCs w:val="22"/>
              </w:rPr>
              <w:t>0</w:t>
            </w:r>
            <w:r w:rsidR="006035FE">
              <w:rPr>
                <w:b/>
                <w:i/>
                <w:sz w:val="22"/>
                <w:szCs w:val="22"/>
              </w:rPr>
              <w:t>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BE7DF0" w:rsidRPr="002247FD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DF6A21">
              <w:rPr>
                <w:b/>
                <w:bCs/>
                <w:i/>
                <w:iCs/>
                <w:sz w:val="22"/>
                <w:szCs w:val="22"/>
              </w:rPr>
              <w:t>07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DF6A21">
              <w:rPr>
                <w:b/>
                <w:bCs/>
                <w:i/>
                <w:iCs/>
                <w:sz w:val="22"/>
                <w:szCs w:val="22"/>
              </w:rPr>
              <w:t>03.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DF6A21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2247FD" w:rsidRPr="002247FD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2247FD" w:rsidRPr="002247FD" w:rsidRDefault="002247FD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</w:t>
            </w:r>
            <w:bookmarkStart w:id="0" w:name="_GoBack"/>
            <w:bookmarkEnd w:id="0"/>
            <w:r w:rsidR="000408E4" w:rsidRPr="000408E4">
              <w:rPr>
                <w:sz w:val="22"/>
                <w:szCs w:val="22"/>
              </w:rPr>
              <w:t xml:space="preserve">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4B6E01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422237" w:rsidP="00DF6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F6A21">
              <w:rPr>
                <w:sz w:val="22"/>
                <w:szCs w:val="22"/>
              </w:rPr>
              <w:t>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4B6E01">
            <w:pPr>
              <w:ind w:hanging="21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6A21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DF6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F6A21">
              <w:rPr>
                <w:sz w:val="22"/>
                <w:szCs w:val="22"/>
              </w:rPr>
              <w:t>3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55F32"/>
    <w:rsid w:val="0007269F"/>
    <w:rsid w:val="00077906"/>
    <w:rsid w:val="000A4570"/>
    <w:rsid w:val="000F0D43"/>
    <w:rsid w:val="00100999"/>
    <w:rsid w:val="00107A98"/>
    <w:rsid w:val="00134E6C"/>
    <w:rsid w:val="001409C0"/>
    <w:rsid w:val="00141B2A"/>
    <w:rsid w:val="0016222D"/>
    <w:rsid w:val="00176389"/>
    <w:rsid w:val="0019324F"/>
    <w:rsid w:val="00194CCF"/>
    <w:rsid w:val="001A6DCB"/>
    <w:rsid w:val="001D0031"/>
    <w:rsid w:val="001D3936"/>
    <w:rsid w:val="001F2D69"/>
    <w:rsid w:val="002040BA"/>
    <w:rsid w:val="002247FD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B708A"/>
    <w:rsid w:val="003C7BF4"/>
    <w:rsid w:val="00422237"/>
    <w:rsid w:val="00423279"/>
    <w:rsid w:val="00440F3C"/>
    <w:rsid w:val="00444E17"/>
    <w:rsid w:val="004471BC"/>
    <w:rsid w:val="00462B71"/>
    <w:rsid w:val="0048634E"/>
    <w:rsid w:val="00492B86"/>
    <w:rsid w:val="004B6E01"/>
    <w:rsid w:val="004C33D9"/>
    <w:rsid w:val="004D1A27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14A77"/>
    <w:rsid w:val="00753E9F"/>
    <w:rsid w:val="00796E07"/>
    <w:rsid w:val="007B6366"/>
    <w:rsid w:val="007D2647"/>
    <w:rsid w:val="007F673C"/>
    <w:rsid w:val="008026BF"/>
    <w:rsid w:val="0080633A"/>
    <w:rsid w:val="0080734F"/>
    <w:rsid w:val="00831DF7"/>
    <w:rsid w:val="008531DB"/>
    <w:rsid w:val="008C72F8"/>
    <w:rsid w:val="008F53A2"/>
    <w:rsid w:val="009367F7"/>
    <w:rsid w:val="009C2272"/>
    <w:rsid w:val="00A14013"/>
    <w:rsid w:val="00A23E55"/>
    <w:rsid w:val="00A31793"/>
    <w:rsid w:val="00A347B2"/>
    <w:rsid w:val="00A60393"/>
    <w:rsid w:val="00A6486E"/>
    <w:rsid w:val="00A92A08"/>
    <w:rsid w:val="00AC1C82"/>
    <w:rsid w:val="00AC3709"/>
    <w:rsid w:val="00AD2926"/>
    <w:rsid w:val="00AF207E"/>
    <w:rsid w:val="00BB62B7"/>
    <w:rsid w:val="00BE7DF0"/>
    <w:rsid w:val="00BF0A5E"/>
    <w:rsid w:val="00C4776E"/>
    <w:rsid w:val="00C55340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DF6A21"/>
    <w:rsid w:val="00E053D9"/>
    <w:rsid w:val="00E11259"/>
    <w:rsid w:val="00E2742C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2EE7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8849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  <w:style w:type="character" w:styleId="ae">
    <w:name w:val="Intense Reference"/>
    <w:basedOn w:val="a0"/>
    <w:uiPriority w:val="32"/>
    <w:qFormat/>
    <w:rsid w:val="00C5534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DD77E-85E0-4EFB-A2D6-C2A79116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PerEcH</dc:creator>
  <cp:lastModifiedBy>Ilchenko Irina</cp:lastModifiedBy>
  <cp:revision>2</cp:revision>
  <cp:lastPrinted>2023-03-07T07:25:00Z</cp:lastPrinted>
  <dcterms:created xsi:type="dcterms:W3CDTF">2023-03-07T07:40:00Z</dcterms:created>
  <dcterms:modified xsi:type="dcterms:W3CDTF">2023-03-07T07:40:00Z</dcterms:modified>
</cp:coreProperties>
</file>