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3D3B7A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186984">
              <w:rPr>
                <w:b/>
                <w:bCs/>
                <w:i/>
                <w:iCs/>
                <w:sz w:val="22"/>
                <w:szCs w:val="22"/>
              </w:rPr>
              <w:t>665709,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</w:t>
            </w:r>
            <w:r w:rsidR="003D3B7A">
              <w:rPr>
                <w:b/>
                <w:bCs/>
                <w:i/>
                <w:iCs/>
                <w:sz w:val="22"/>
                <w:szCs w:val="22"/>
              </w:rPr>
              <w:t>асть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г.о. город Братск, </w:t>
            </w:r>
          </w:p>
          <w:p w:rsidR="00C0693E" w:rsidRPr="00186984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г Братск, тер Промплощадка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12443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3333A9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930C1D" w:rsidP="00971909">
            <w:pPr>
              <w:ind w:left="140" w:right="85"/>
              <w:rPr>
                <w:b/>
                <w:i/>
                <w:sz w:val="22"/>
                <w:szCs w:val="22"/>
              </w:rPr>
            </w:pPr>
            <w:r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14050F" w:rsidRPr="0014050F">
              <w:rPr>
                <w:b/>
                <w:bCs/>
                <w:i/>
                <w:iCs/>
                <w:sz w:val="22"/>
                <w:szCs w:val="22"/>
                <w:lang w:val="en-US"/>
              </w:rPr>
              <w:t>1</w:t>
            </w:r>
            <w:r w:rsidR="00B963F3">
              <w:rPr>
                <w:b/>
                <w:bCs/>
                <w:i/>
                <w:iCs/>
                <w:sz w:val="22"/>
                <w:szCs w:val="22"/>
              </w:rPr>
              <w:t>7</w:t>
            </w:r>
            <w:r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декабря</w:t>
            </w:r>
            <w:r w:rsidRPr="00642D38">
              <w:rPr>
                <w:b/>
                <w:bCs/>
                <w:i/>
                <w:iCs/>
                <w:sz w:val="22"/>
                <w:szCs w:val="22"/>
              </w:rPr>
              <w:t xml:space="preserve"> 2021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14050F" w:rsidRPr="0014050F">
              <w:rPr>
                <w:b/>
                <w:i/>
                <w:sz w:val="22"/>
                <w:szCs w:val="22"/>
              </w:rPr>
              <w:t>1</w:t>
            </w:r>
            <w:r w:rsidR="00B963F3">
              <w:rPr>
                <w:b/>
                <w:i/>
                <w:sz w:val="22"/>
                <w:szCs w:val="22"/>
              </w:rPr>
              <w:t>7</w:t>
            </w:r>
            <w:r w:rsidR="00847B22">
              <w:rPr>
                <w:b/>
                <w:i/>
                <w:sz w:val="22"/>
                <w:szCs w:val="22"/>
              </w:rPr>
              <w:t xml:space="preserve"> декабря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923CF8" w:rsidRPr="00587BFC">
              <w:rPr>
                <w:b/>
                <w:i/>
                <w:sz w:val="22"/>
                <w:szCs w:val="22"/>
              </w:rPr>
              <w:t>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B963F3">
              <w:rPr>
                <w:b/>
                <w:i/>
                <w:sz w:val="22"/>
                <w:szCs w:val="22"/>
              </w:rPr>
              <w:t>20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847B22" w:rsidRPr="00A95B3C">
              <w:rPr>
                <w:b/>
                <w:i/>
                <w:sz w:val="22"/>
                <w:szCs w:val="22"/>
              </w:rPr>
              <w:t>декабря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923CF8" w:rsidRPr="00587BFC">
              <w:rPr>
                <w:b/>
                <w:i/>
                <w:sz w:val="22"/>
                <w:szCs w:val="22"/>
              </w:rPr>
              <w:t>2021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847B22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B963F3" w:rsidRPr="00B963F3" w:rsidRDefault="00B963F3" w:rsidP="003333A9">
            <w:pPr>
              <w:spacing w:line="276" w:lineRule="auto"/>
              <w:ind w:left="136" w:right="133"/>
              <w:jc w:val="both"/>
              <w:rPr>
                <w:b/>
                <w:i/>
                <w:sz w:val="22"/>
                <w:szCs w:val="22"/>
              </w:rPr>
            </w:pPr>
            <w:r w:rsidRPr="00B963F3">
              <w:rPr>
                <w:b/>
                <w:i/>
                <w:sz w:val="22"/>
                <w:szCs w:val="22"/>
              </w:rPr>
              <w:t>1. Об одобрении сделки – заключение Дополнительного соглашения № 5 к договору переработки № ШБрАЗ-р(у)-2019 от 25 декабря 2019 года.</w:t>
            </w:r>
          </w:p>
          <w:p w:rsidR="00B963F3" w:rsidRPr="00B963F3" w:rsidRDefault="00B963F3" w:rsidP="003333A9">
            <w:pPr>
              <w:spacing w:line="276" w:lineRule="auto"/>
              <w:ind w:left="136" w:right="133"/>
              <w:jc w:val="both"/>
              <w:rPr>
                <w:b/>
                <w:i/>
                <w:sz w:val="22"/>
                <w:szCs w:val="22"/>
              </w:rPr>
            </w:pPr>
            <w:r w:rsidRPr="00B963F3">
              <w:rPr>
                <w:b/>
                <w:i/>
                <w:sz w:val="22"/>
                <w:szCs w:val="22"/>
              </w:rPr>
              <w:t>2. Об одобрении сделки – заключение Дополнительного соглашения № 14 к договору № 189/РБ-Д-08-03-403 от 09.12.2008 г. на оказание услуг по передаче электрической энергии (мощности).</w:t>
            </w:r>
          </w:p>
          <w:p w:rsidR="004E0BF4" w:rsidRPr="0014050F" w:rsidRDefault="004E0BF4" w:rsidP="0014050F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B963F3">
              <w:rPr>
                <w:sz w:val="22"/>
                <w:szCs w:val="22"/>
              </w:rPr>
              <w:t>20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 xml:space="preserve">декабря </w:t>
            </w:r>
            <w:r w:rsidR="00923CF8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="008E70D0">
              <w:rPr>
                <w:sz w:val="22"/>
                <w:szCs w:val="22"/>
              </w:rPr>
              <w:t xml:space="preserve">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p w:rsidR="003D3B7A" w:rsidRDefault="002705A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</w:t>
      </w:r>
    </w:p>
    <w:sectPr w:rsidR="003D3B7A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62200"/>
    <w:rsid w:val="00D66929"/>
    <w:rsid w:val="00DA1B57"/>
    <w:rsid w:val="00DA687F"/>
    <w:rsid w:val="00DC50DA"/>
    <w:rsid w:val="00DC58AA"/>
    <w:rsid w:val="00DD0B4D"/>
    <w:rsid w:val="00DF6028"/>
    <w:rsid w:val="00E70A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708A9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Ilchenko Irina</cp:lastModifiedBy>
  <cp:revision>2</cp:revision>
  <cp:lastPrinted>2021-12-20T02:50:00Z</cp:lastPrinted>
  <dcterms:created xsi:type="dcterms:W3CDTF">2021-12-20T02:51:00Z</dcterms:created>
  <dcterms:modified xsi:type="dcterms:W3CDTF">2021-12-20T02:51:00Z</dcterms:modified>
</cp:coreProperties>
</file>