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49" w:rsidRPr="007D0C4C" w:rsidRDefault="007D0C4C">
      <w:pPr>
        <w:spacing w:after="0" w:line="240" w:lineRule="auto"/>
        <w:ind w:left="5670"/>
        <w:rPr>
          <w:rFonts w:ascii="Times New Roman" w:hAnsi="Times New Roman"/>
        </w:rPr>
      </w:pPr>
      <w:bookmarkStart w:id="0" w:name="_GoBack"/>
      <w:bookmarkEnd w:id="0"/>
      <w:r w:rsidRPr="007D0C4C">
        <w:rPr>
          <w:rFonts w:ascii="Times New Roman" w:hAnsi="Times New Roman"/>
        </w:rPr>
        <w:t>Приложение № 1</w:t>
      </w:r>
    </w:p>
    <w:p w:rsidR="00760149" w:rsidRPr="007D0C4C" w:rsidRDefault="007D0C4C">
      <w:pPr>
        <w:spacing w:after="0" w:line="240" w:lineRule="auto"/>
        <w:ind w:left="5670"/>
        <w:rPr>
          <w:rFonts w:ascii="Times New Roman" w:hAnsi="Times New Roman"/>
        </w:rPr>
      </w:pPr>
      <w:r w:rsidRPr="007D0C4C">
        <w:rPr>
          <w:rFonts w:ascii="Times New Roman" w:hAnsi="Times New Roman"/>
        </w:rPr>
        <w:t>к приказу</w:t>
      </w:r>
    </w:p>
    <w:p w:rsidR="00760149" w:rsidRPr="007D0C4C" w:rsidRDefault="00E54B10">
      <w:pPr>
        <w:spacing w:after="0" w:line="240" w:lineRule="auto"/>
        <w:ind w:left="5670"/>
        <w:rPr>
          <w:rFonts w:ascii="Times New Roman" w:hAnsi="Times New Roman"/>
        </w:rPr>
      </w:pPr>
      <w:r>
        <w:rPr>
          <w:rFonts w:ascii="Times New Roman" w:hAnsi="Times New Roman"/>
        </w:rPr>
        <w:t xml:space="preserve">№ </w:t>
      </w:r>
      <w:r>
        <w:rPr>
          <w:rFonts w:ascii="Times New Roman" w:hAnsi="Times New Roman"/>
          <w:lang w:val="en-US"/>
        </w:rPr>
        <w:t>РБ-</w:t>
      </w:r>
      <w:r>
        <w:rPr>
          <w:rFonts w:ascii="Times New Roman" w:hAnsi="Times New Roman"/>
        </w:rPr>
        <w:t>21-1532</w:t>
      </w:r>
      <w:r w:rsidR="007D0C4C" w:rsidRPr="007D0C4C">
        <w:rPr>
          <w:rFonts w:ascii="Times New Roman" w:hAnsi="Times New Roman"/>
        </w:rPr>
        <w:t xml:space="preserve"> от «</w:t>
      </w:r>
      <w:r>
        <w:rPr>
          <w:rFonts w:ascii="Times New Roman" w:hAnsi="Times New Roman"/>
        </w:rPr>
        <w:t>06</w:t>
      </w:r>
      <w:r w:rsidR="007D0C4C" w:rsidRPr="007D0C4C">
        <w:rPr>
          <w:rFonts w:ascii="Times New Roman" w:hAnsi="Times New Roman"/>
        </w:rPr>
        <w:t>»</w:t>
      </w:r>
      <w:r>
        <w:rPr>
          <w:rFonts w:ascii="Times New Roman" w:hAnsi="Times New Roman"/>
        </w:rPr>
        <w:t xml:space="preserve"> декабря 2021 г.</w:t>
      </w:r>
    </w:p>
    <w:p w:rsidR="00760149" w:rsidRPr="007D0C4C" w:rsidRDefault="00760149">
      <w:pPr>
        <w:spacing w:after="120" w:line="240" w:lineRule="auto"/>
        <w:ind w:left="838"/>
        <w:rPr>
          <w:rFonts w:ascii="Times New Roman" w:hAnsi="Times New Roman"/>
          <w:b/>
          <w:color w:val="111111"/>
          <w:w w:val="105"/>
        </w:rPr>
      </w:pPr>
    </w:p>
    <w:p w:rsidR="00760149" w:rsidRPr="007D0C4C" w:rsidRDefault="007D0C4C">
      <w:pPr>
        <w:spacing w:after="0"/>
        <w:jc w:val="center"/>
        <w:rPr>
          <w:rFonts w:ascii="Times New Roman" w:hAnsi="Times New Roman"/>
          <w:b/>
        </w:rPr>
      </w:pPr>
      <w:r w:rsidRPr="007D0C4C">
        <w:rPr>
          <w:rFonts w:ascii="Times New Roman" w:hAnsi="Times New Roman"/>
          <w:b/>
        </w:rPr>
        <w:t>Перечень инсайдерской информации</w:t>
      </w:r>
    </w:p>
    <w:p w:rsidR="00760149" w:rsidRPr="007D0C4C" w:rsidRDefault="007D0C4C">
      <w:pPr>
        <w:jc w:val="center"/>
        <w:rPr>
          <w:rFonts w:ascii="Times New Roman" w:hAnsi="Times New Roman"/>
          <w:b/>
        </w:rPr>
      </w:pPr>
      <w:r w:rsidRPr="007D0C4C">
        <w:rPr>
          <w:rFonts w:ascii="Times New Roman" w:hAnsi="Times New Roman"/>
          <w:b/>
        </w:rPr>
        <w:t>Публичного акционерного общества «РУСАЛ Братский алюминиевый завод»</w:t>
      </w:r>
    </w:p>
    <w:p w:rsidR="00760149" w:rsidRPr="007D0C4C" w:rsidRDefault="00760149">
      <w:pPr>
        <w:spacing w:after="120" w:line="240" w:lineRule="auto"/>
        <w:ind w:left="838"/>
      </w:pPr>
    </w:p>
    <w:p w:rsidR="00760149" w:rsidRPr="007D0C4C" w:rsidRDefault="007D0C4C">
      <w:pPr>
        <w:spacing w:after="120" w:line="240" w:lineRule="auto"/>
        <w:ind w:left="107"/>
        <w:jc w:val="both"/>
        <w:rPr>
          <w:rFonts w:ascii="Times New Roman" w:hAnsi="Times New Roman"/>
        </w:rPr>
      </w:pPr>
      <w:r w:rsidRPr="007D0C4C">
        <w:rPr>
          <w:rFonts w:ascii="Times New Roman" w:hAnsi="Times New Roman"/>
        </w:rPr>
        <w:t>К инсайдерской информации Публичного акционерного общества «РУСАЛ Братский алюминиевый завод» (далее по тексту - «Эмитент») относится следующая информация</w:t>
      </w:r>
      <w:r w:rsidRPr="007D0C4C">
        <w:rPr>
          <w:rFonts w:ascii="Times New Roman" w:hAnsi="Times New Roman"/>
          <w:color w:val="111111"/>
        </w:rPr>
        <w:t>:</w:t>
      </w:r>
    </w:p>
    <w:p w:rsidR="00760149" w:rsidRPr="007D0C4C" w:rsidRDefault="007D0C4C">
      <w:pPr>
        <w:pStyle w:val="ConsPlusNormal"/>
        <w:numPr>
          <w:ilvl w:val="0"/>
          <w:numId w:val="1"/>
        </w:numPr>
        <w:spacing w:after="120"/>
        <w:jc w:val="both"/>
        <w:rPr>
          <w:sz w:val="22"/>
          <w:szCs w:val="22"/>
        </w:rPr>
      </w:pPr>
      <w:r w:rsidRPr="007D0C4C">
        <w:rPr>
          <w:sz w:val="22"/>
          <w:szCs w:val="22"/>
        </w:rPr>
        <w:t>О созыве и проведении Общего собрания акционеров Эмитента, об объявлении Общего собрания акционеров Эмитента несостоявшимся, а также о решениях, принятых Общим собранием акционеров Эмитента или лицом, которому принадлежат все голосующие акции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проведении заседания Совета директоров Эмитента и его повестке дня, а также об отдельных решениях, принятых Советом директоров Эмитента:</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 предложении Общему собранию акционеров Эмитента установить в решении о выплате (об объявлении) дивидендов определенную дату, на которую определяются лица, имеющие право на получение дивидендов;</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 размещении или реализации ценных бумаг Эмитента;</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об определении или о порядке определения цены размещения акций или ценных бумаг, конвертируемых в акции Эмитента;</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Эмитента;</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 рекомендациях в отношении размера дивидендов по акциям Эмитента и порядка их выплаты;</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об утверждении внутренних документов Эмитента;</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 согласии на совершение или о последующем одобрении сделки (нескольких взаимосвязанных сделок) 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балансовой стоимости активов Эмитента по данным бухгалтерской (финансовой) отчетности Эмитента на последнюю отчетную дату (дату окончания последнего завершенного отчетного периода, определяемого в соответствии с подпунктом  26 пункта 1 статьи 2 Федерального закона от 22 апреля 1996 года № 39-ФЗ «О рынке ценных бумаг»,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760149" w:rsidRPr="007D0C4C" w:rsidRDefault="007D0C4C">
      <w:pPr>
        <w:pStyle w:val="ConsPlusNormal"/>
        <w:numPr>
          <w:ilvl w:val="1"/>
          <w:numId w:val="1"/>
        </w:numPr>
        <w:spacing w:after="120"/>
        <w:ind w:hanging="94"/>
        <w:jc w:val="both"/>
        <w:rPr>
          <w:sz w:val="22"/>
          <w:szCs w:val="22"/>
        </w:rPr>
      </w:pPr>
      <w:r w:rsidRPr="007D0C4C">
        <w:rPr>
          <w:sz w:val="22"/>
          <w:szCs w:val="22"/>
        </w:rPr>
        <w:lastRenderedPageBreak/>
        <w:t>о передаче полномочий единоличного исполнительного органа Эмитента 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rsidR="00760149" w:rsidRPr="007D0C4C" w:rsidRDefault="007D0C4C">
      <w:pPr>
        <w:pStyle w:val="ConsPlusNormal"/>
        <w:numPr>
          <w:ilvl w:val="1"/>
          <w:numId w:val="1"/>
        </w:numPr>
        <w:spacing w:after="120"/>
        <w:ind w:hanging="94"/>
        <w:jc w:val="both"/>
        <w:rPr>
          <w:sz w:val="22"/>
          <w:szCs w:val="22"/>
        </w:rPr>
      </w:pPr>
      <w:r w:rsidRPr="007D0C4C">
        <w:rPr>
          <w:sz w:val="22"/>
          <w:szCs w:val="22"/>
        </w:rPr>
        <w:t>об утверждении регистратора, осуществляющего ведение реестра владельцев ценных бумаг Эмитента, условий договора с ним в части ведения реестра владельцев ценных бумаг эмитента, а также о расторжении договора с ним;</w:t>
      </w:r>
    </w:p>
    <w:p w:rsidR="00760149" w:rsidRPr="007D0C4C" w:rsidRDefault="007D0C4C">
      <w:pPr>
        <w:pStyle w:val="ConsPlusNormal"/>
        <w:numPr>
          <w:ilvl w:val="0"/>
          <w:numId w:val="1"/>
        </w:numPr>
        <w:spacing w:after="120"/>
        <w:jc w:val="both"/>
        <w:rPr>
          <w:sz w:val="22"/>
          <w:szCs w:val="22"/>
        </w:rPr>
      </w:pPr>
      <w:r w:rsidRPr="007D0C4C">
        <w:rPr>
          <w:sz w:val="22"/>
          <w:szCs w:val="22"/>
        </w:rPr>
        <w:t>О принятии решения о реорганизации или ликвидации лица, предоставившего обеспечение по облигациям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появлении у Эмитента или лица, предоставившего обеспечение по облигациям Эмитента, признаков банкротства, предусмотренных Федеральным законом от 26 октября 2002 года № 127-ФЗ «О несостоятельности (банкротстве)»;</w:t>
      </w:r>
    </w:p>
    <w:p w:rsidR="00760149" w:rsidRPr="007D0C4C" w:rsidRDefault="007D0C4C">
      <w:pPr>
        <w:pStyle w:val="ConsPlusNormal"/>
        <w:numPr>
          <w:ilvl w:val="0"/>
          <w:numId w:val="1"/>
        </w:numPr>
        <w:spacing w:after="120"/>
        <w:jc w:val="both"/>
        <w:rPr>
          <w:sz w:val="22"/>
          <w:szCs w:val="22"/>
        </w:rPr>
      </w:pPr>
      <w:r w:rsidRPr="007D0C4C">
        <w:rPr>
          <w:sz w:val="22"/>
          <w:szCs w:val="22"/>
        </w:rPr>
        <w:t>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760149" w:rsidRPr="007D0C4C" w:rsidRDefault="007D0C4C">
      <w:pPr>
        <w:pStyle w:val="ConsPlusNormal"/>
        <w:numPr>
          <w:ilvl w:val="0"/>
          <w:numId w:val="1"/>
        </w:numPr>
        <w:spacing w:after="120"/>
        <w:jc w:val="both"/>
        <w:rPr>
          <w:sz w:val="22"/>
          <w:szCs w:val="22"/>
        </w:rPr>
      </w:pPr>
      <w:r w:rsidRPr="007D0C4C">
        <w:rPr>
          <w:sz w:val="22"/>
          <w:szCs w:val="22"/>
        </w:rPr>
        <w:t>О дате, на которую определяются (фиксируются) лица, имеющие право на осуществление прав по ценным бумагам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Об этапах процедуры эмиссии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приостановлении и возобновлении эмиссии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760149" w:rsidRPr="007D0C4C" w:rsidRDefault="007D0C4C">
      <w:pPr>
        <w:pStyle w:val="ConsPlusNormal"/>
        <w:numPr>
          <w:ilvl w:val="0"/>
          <w:numId w:val="1"/>
        </w:numPr>
        <w:spacing w:after="120"/>
        <w:jc w:val="both"/>
        <w:rPr>
          <w:sz w:val="22"/>
          <w:szCs w:val="22"/>
        </w:rPr>
      </w:pPr>
      <w:r w:rsidRPr="007D0C4C">
        <w:rPr>
          <w:sz w:val="22"/>
          <w:szCs w:val="22"/>
        </w:rPr>
        <w:t>О погашении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760149" w:rsidRPr="007D0C4C" w:rsidRDefault="007D0C4C">
      <w:pPr>
        <w:pStyle w:val="ConsPlusNormal"/>
        <w:numPr>
          <w:ilvl w:val="0"/>
          <w:numId w:val="1"/>
        </w:numPr>
        <w:spacing w:after="120"/>
        <w:jc w:val="both"/>
        <w:rPr>
          <w:sz w:val="22"/>
          <w:szCs w:val="22"/>
        </w:rPr>
      </w:pPr>
      <w:r w:rsidRPr="007D0C4C">
        <w:rPr>
          <w:sz w:val="22"/>
          <w:szCs w:val="22"/>
        </w:rPr>
        <w:t>О принятии решения о приобретении (наступлении оснований для приобретения) Эмитентом размещенных им ценных бумаг;</w:t>
      </w:r>
    </w:p>
    <w:p w:rsidR="00760149" w:rsidRPr="007D0C4C" w:rsidRDefault="007D0C4C">
      <w:pPr>
        <w:pStyle w:val="ConsPlusNormal"/>
        <w:numPr>
          <w:ilvl w:val="0"/>
          <w:numId w:val="1"/>
        </w:numPr>
        <w:spacing w:after="120"/>
        <w:jc w:val="both"/>
        <w:rPr>
          <w:sz w:val="22"/>
          <w:szCs w:val="22"/>
        </w:rPr>
      </w:pPr>
      <w:r w:rsidRPr="007D0C4C">
        <w:rPr>
          <w:sz w:val="22"/>
          <w:szCs w:val="22"/>
        </w:rPr>
        <w:t>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 xml:space="preserve">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w:t>
      </w:r>
      <w:r w:rsidRPr="007D0C4C">
        <w:rPr>
          <w:sz w:val="22"/>
          <w:szCs w:val="22"/>
        </w:rPr>
        <w:lastRenderedPageBreak/>
        <w:t>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760149" w:rsidRPr="007D0C4C" w:rsidRDefault="007D0C4C">
      <w:pPr>
        <w:pStyle w:val="ConsPlusNormal"/>
        <w:numPr>
          <w:ilvl w:val="0"/>
          <w:numId w:val="1"/>
        </w:numPr>
        <w:spacing w:after="120"/>
        <w:jc w:val="both"/>
        <w:rPr>
          <w:sz w:val="22"/>
          <w:szCs w:val="22"/>
        </w:rPr>
      </w:pPr>
      <w:r w:rsidRPr="007D0C4C">
        <w:rPr>
          <w:sz w:val="22"/>
          <w:szCs w:val="22"/>
        </w:rPr>
        <w:t>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760149" w:rsidRPr="007D0C4C" w:rsidRDefault="007D0C4C">
      <w:pPr>
        <w:pStyle w:val="ConsPlusNormal"/>
        <w:numPr>
          <w:ilvl w:val="0"/>
          <w:numId w:val="1"/>
        </w:numPr>
        <w:spacing w:after="120"/>
        <w:jc w:val="both"/>
        <w:rPr>
          <w:sz w:val="22"/>
          <w:szCs w:val="22"/>
        </w:rPr>
      </w:pPr>
      <w:r w:rsidRPr="007D0C4C">
        <w:rPr>
          <w:sz w:val="22"/>
          <w:szCs w:val="22"/>
        </w:rPr>
        <w:t>О неисполнении обязательств Эмитента перед владельцами его ценных бумаг;</w:t>
      </w:r>
    </w:p>
    <w:p w:rsidR="00760149" w:rsidRPr="007D0C4C" w:rsidRDefault="007D0C4C">
      <w:pPr>
        <w:pStyle w:val="ConsPlusNormal"/>
        <w:numPr>
          <w:ilvl w:val="0"/>
          <w:numId w:val="1"/>
        </w:numPr>
        <w:spacing w:after="120"/>
        <w:jc w:val="both"/>
        <w:rPr>
          <w:sz w:val="22"/>
          <w:szCs w:val="22"/>
        </w:rPr>
      </w:pPr>
      <w:r w:rsidRPr="007D0C4C">
        <w:rPr>
          <w:sz w:val="22"/>
          <w:szCs w:val="22"/>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Эмитента, распоряжаться определенным количеством голосов, приходящихся на голосующие акции,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 xml:space="preserve">О поступившем Эмитенту в соответствии с главой </w:t>
      </w:r>
      <w:r w:rsidRPr="007D0C4C">
        <w:rPr>
          <w:sz w:val="22"/>
          <w:szCs w:val="22"/>
          <w:lang w:val="en-US"/>
        </w:rPr>
        <w:t>XI</w:t>
      </w:r>
      <w:r w:rsidRPr="007D0C4C">
        <w:rPr>
          <w:sz w:val="22"/>
          <w:szCs w:val="22"/>
        </w:rPr>
        <w:t>.1 Федерального закона от 26 декабря 1995 года № 208-ФЗ «Об акционерных обществах» (далее – Федеральный закон «Об акционерных обществах»)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p>
    <w:p w:rsidR="00760149" w:rsidRPr="007D0C4C" w:rsidRDefault="007D0C4C">
      <w:pPr>
        <w:pStyle w:val="ConsPlusNormal"/>
        <w:numPr>
          <w:ilvl w:val="0"/>
          <w:numId w:val="1"/>
        </w:numPr>
        <w:spacing w:after="120"/>
        <w:jc w:val="both"/>
        <w:rPr>
          <w:sz w:val="22"/>
          <w:szCs w:val="22"/>
        </w:rPr>
      </w:pPr>
      <w:r w:rsidRPr="007D0C4C">
        <w:rPr>
          <w:sz w:val="22"/>
          <w:szCs w:val="22"/>
        </w:rPr>
        <w:t xml:space="preserve">О поступившем Эмитенту в соответствии с главой </w:t>
      </w:r>
      <w:r w:rsidRPr="007D0C4C">
        <w:rPr>
          <w:sz w:val="22"/>
          <w:szCs w:val="22"/>
          <w:lang w:val="en-US"/>
        </w:rPr>
        <w:t>XI</w:t>
      </w:r>
      <w:r w:rsidRPr="007D0C4C">
        <w:rPr>
          <w:sz w:val="22"/>
          <w:szCs w:val="22"/>
        </w:rPr>
        <w:t>.1 Федерального закона «Об акционерных обществах» уведомлении о праве требовать выкупа ценных бумаг Эмитента или требовании о выкупе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760149" w:rsidRPr="007D0C4C" w:rsidRDefault="007D0C4C">
      <w:pPr>
        <w:pStyle w:val="ConsPlusNormal"/>
        <w:numPr>
          <w:ilvl w:val="0"/>
          <w:numId w:val="1"/>
        </w:numPr>
        <w:spacing w:after="120"/>
        <w:jc w:val="both"/>
        <w:rPr>
          <w:sz w:val="22"/>
          <w:szCs w:val="22"/>
        </w:rPr>
      </w:pPr>
      <w:r w:rsidRPr="007D0C4C">
        <w:rPr>
          <w:sz w:val="22"/>
          <w:szCs w:val="22"/>
        </w:rPr>
        <w:t>О совершении Эмитентом или подконтрольной Эмитенту организацией, имеющей для него существенное значение, определяемой в соответствии с пунктом 1.14 Положения Банка России от 27.03.2020 № 714-П «О раскрытии информации эмитентами эмиссионных ценных бумаг» (далее – подконтрольная Эмитенту организация, имеющая для него существенное значение), сделки, размер которой составляет 10 и более процентов балансовой стоимости активов Эмитента или подконтрольной Эмитенту организации, имеющей для него существенное значение, по данным бухгалтерской (финансовой) отчетности Эмитента или указанной организации на последнюю отчетную дату (дату окончания последнего завершенного отчетного периода, предшествующего дате совершения сделки);</w:t>
      </w:r>
    </w:p>
    <w:p w:rsidR="00760149" w:rsidRPr="007D0C4C" w:rsidRDefault="007D0C4C">
      <w:pPr>
        <w:pStyle w:val="ConsPlusNormal"/>
        <w:numPr>
          <w:ilvl w:val="0"/>
          <w:numId w:val="1"/>
        </w:numPr>
        <w:spacing w:after="120"/>
        <w:jc w:val="both"/>
        <w:rPr>
          <w:sz w:val="22"/>
          <w:szCs w:val="22"/>
        </w:rPr>
      </w:pPr>
      <w:r w:rsidRPr="007D0C4C">
        <w:rPr>
          <w:sz w:val="22"/>
          <w:szCs w:val="22"/>
        </w:rPr>
        <w:lastRenderedPageBreak/>
        <w:t>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пункте 35.1 Положения Банка России от 27.03.2020 № 714-П «О раскрытии информации эмитентами эмиссионных ценных бумаг»;</w:t>
      </w:r>
    </w:p>
    <w:p w:rsidR="00760149" w:rsidRPr="007D0C4C" w:rsidRDefault="007D0C4C">
      <w:pPr>
        <w:pStyle w:val="ConsPlusNormal"/>
        <w:numPr>
          <w:ilvl w:val="0"/>
          <w:numId w:val="1"/>
        </w:numPr>
        <w:spacing w:after="120"/>
        <w:jc w:val="both"/>
        <w:rPr>
          <w:sz w:val="22"/>
          <w:szCs w:val="22"/>
        </w:rPr>
      </w:pPr>
      <w:r w:rsidRPr="007D0C4C">
        <w:rPr>
          <w:sz w:val="22"/>
          <w:szCs w:val="22"/>
        </w:rPr>
        <w:t>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760149" w:rsidRPr="007D0C4C" w:rsidRDefault="007D0C4C">
      <w:pPr>
        <w:pStyle w:val="ConsPlusNormal"/>
        <w:numPr>
          <w:ilvl w:val="0"/>
          <w:numId w:val="1"/>
        </w:numPr>
        <w:spacing w:after="120"/>
        <w:jc w:val="both"/>
        <w:rPr>
          <w:sz w:val="22"/>
          <w:szCs w:val="22"/>
        </w:rPr>
      </w:pPr>
      <w:r w:rsidRPr="007D0C4C">
        <w:rPr>
          <w:sz w:val="22"/>
          <w:szCs w:val="22"/>
        </w:rPr>
        <w:t>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760149" w:rsidRPr="007D0C4C" w:rsidRDefault="007D0C4C">
      <w:pPr>
        <w:pStyle w:val="ConsPlusNormal"/>
        <w:numPr>
          <w:ilvl w:val="0"/>
          <w:numId w:val="1"/>
        </w:numPr>
        <w:spacing w:after="120"/>
        <w:jc w:val="both"/>
        <w:rPr>
          <w:sz w:val="22"/>
          <w:szCs w:val="22"/>
        </w:rPr>
      </w:pPr>
      <w:r w:rsidRPr="007D0C4C">
        <w:rPr>
          <w:sz w:val="22"/>
          <w:szCs w:val="22"/>
        </w:rPr>
        <w:t>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760149" w:rsidRPr="007D0C4C" w:rsidRDefault="007D0C4C">
      <w:pPr>
        <w:pStyle w:val="ConsPlusNormal"/>
        <w:numPr>
          <w:ilvl w:val="0"/>
          <w:numId w:val="1"/>
        </w:numPr>
        <w:spacing w:after="120"/>
        <w:jc w:val="both"/>
        <w:rPr>
          <w:sz w:val="22"/>
          <w:szCs w:val="22"/>
        </w:rPr>
      </w:pPr>
      <w:r w:rsidRPr="007D0C4C">
        <w:rPr>
          <w:sz w:val="22"/>
          <w:szCs w:val="22"/>
        </w:rPr>
        <w:t>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рассмотрение дела по существу по корпоративному спору или существенному спору, за исключением информации, указанной в пункте 41.6 Положения Банка России от 27.03.2020 № 714-П «О раскрытии информации эмитентами эмиссионных ценных бумаг»;</w:t>
      </w:r>
    </w:p>
    <w:p w:rsidR="00760149" w:rsidRPr="007D0C4C" w:rsidRDefault="007D0C4C">
      <w:pPr>
        <w:pStyle w:val="ConsPlusNormal"/>
        <w:numPr>
          <w:ilvl w:val="0"/>
          <w:numId w:val="1"/>
        </w:numPr>
        <w:spacing w:after="120"/>
        <w:jc w:val="both"/>
        <w:rPr>
          <w:sz w:val="22"/>
          <w:szCs w:val="22"/>
        </w:rPr>
      </w:pPr>
      <w:r w:rsidRPr="007D0C4C">
        <w:rPr>
          <w:sz w:val="22"/>
          <w:szCs w:val="22"/>
        </w:rPr>
        <w:lastRenderedPageBreak/>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 xml:space="preserve">О решении Банка России об освобождении Эмитента от обязанности осуществлять раскрытие информации в соответствии со статьёй 30 Федерального закона от 22 апреля 1996 года № 39-ФЗ «О рынке ценных бумаг»; </w:t>
      </w:r>
    </w:p>
    <w:p w:rsidR="00760149" w:rsidRPr="007D0C4C" w:rsidRDefault="007D0C4C">
      <w:pPr>
        <w:pStyle w:val="ConsPlusNormal"/>
        <w:numPr>
          <w:ilvl w:val="0"/>
          <w:numId w:val="1"/>
        </w:numPr>
        <w:spacing w:after="120"/>
        <w:jc w:val="both"/>
        <w:rPr>
          <w:sz w:val="22"/>
          <w:szCs w:val="22"/>
        </w:rPr>
      </w:pPr>
      <w:r w:rsidRPr="007D0C4C">
        <w:rPr>
          <w:sz w:val="22"/>
          <w:szCs w:val="22"/>
        </w:rPr>
        <w:t>О приобретении (отчуждении) голосующих акций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доверительным управляющим, действующими от своего имени, но за счет клиента, во исполнение поручения клиента;</w:t>
      </w:r>
    </w:p>
    <w:p w:rsidR="00760149" w:rsidRPr="007D0C4C" w:rsidRDefault="007D0C4C">
      <w:pPr>
        <w:pStyle w:val="ConsPlusNormal"/>
        <w:numPr>
          <w:ilvl w:val="0"/>
          <w:numId w:val="1"/>
        </w:numPr>
        <w:spacing w:after="120"/>
        <w:jc w:val="both"/>
        <w:rPr>
          <w:sz w:val="22"/>
          <w:szCs w:val="22"/>
        </w:rPr>
      </w:pPr>
      <w:r w:rsidRPr="007D0C4C">
        <w:rPr>
          <w:sz w:val="22"/>
          <w:szCs w:val="22"/>
        </w:rPr>
        <w:t>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760149" w:rsidRPr="007D0C4C" w:rsidRDefault="007D0C4C">
      <w:pPr>
        <w:pStyle w:val="ConsPlusNormal"/>
        <w:numPr>
          <w:ilvl w:val="0"/>
          <w:numId w:val="1"/>
        </w:numPr>
        <w:spacing w:after="120"/>
        <w:jc w:val="both"/>
        <w:rPr>
          <w:sz w:val="22"/>
          <w:szCs w:val="22"/>
        </w:rPr>
      </w:pPr>
      <w:r w:rsidRPr="007D0C4C">
        <w:rPr>
          <w:sz w:val="22"/>
          <w:szCs w:val="22"/>
        </w:rPr>
        <w:t>Об определении Эмитентом облигаций представителя владельцев облигаций после регистрации выпуска облигаций;</w:t>
      </w:r>
    </w:p>
    <w:p w:rsidR="00760149" w:rsidRPr="007D0C4C" w:rsidRDefault="007D0C4C">
      <w:pPr>
        <w:pStyle w:val="ConsPlusNormal"/>
        <w:numPr>
          <w:ilvl w:val="0"/>
          <w:numId w:val="1"/>
        </w:numPr>
        <w:spacing w:after="120"/>
        <w:jc w:val="both"/>
        <w:rPr>
          <w:sz w:val="22"/>
          <w:szCs w:val="22"/>
        </w:rPr>
      </w:pPr>
      <w:r w:rsidRPr="007D0C4C">
        <w:rPr>
          <w:sz w:val="22"/>
          <w:szCs w:val="22"/>
        </w:rPr>
        <w:t>О дате, с которой представитель владельцев облигаций осуществляет свои полномочия;</w:t>
      </w:r>
    </w:p>
    <w:p w:rsidR="00760149" w:rsidRPr="007D0C4C" w:rsidRDefault="007D0C4C">
      <w:pPr>
        <w:pStyle w:val="ConsPlusNormal"/>
        <w:numPr>
          <w:ilvl w:val="0"/>
          <w:numId w:val="1"/>
        </w:numPr>
        <w:spacing w:after="120"/>
        <w:jc w:val="both"/>
        <w:rPr>
          <w:sz w:val="22"/>
          <w:szCs w:val="22"/>
        </w:rPr>
      </w:pPr>
      <w:r w:rsidRPr="007D0C4C">
        <w:rPr>
          <w:sz w:val="22"/>
          <w:szCs w:val="22"/>
        </w:rPr>
        <w:t>О заключении Эмитентом соглашения о новации или предоставлении отступного, влекущего прекращение обязательств по облигациям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p>
    <w:p w:rsidR="00760149" w:rsidRPr="007D0C4C" w:rsidRDefault="007D0C4C">
      <w:pPr>
        <w:pStyle w:val="ConsPlusNormal"/>
        <w:numPr>
          <w:ilvl w:val="0"/>
          <w:numId w:val="1"/>
        </w:numPr>
        <w:spacing w:after="120"/>
        <w:jc w:val="both"/>
        <w:rPr>
          <w:sz w:val="22"/>
          <w:szCs w:val="22"/>
        </w:rPr>
      </w:pPr>
      <w:r w:rsidRPr="007D0C4C">
        <w:rPr>
          <w:sz w:val="22"/>
          <w:szCs w:val="22"/>
        </w:rPr>
        <w:t>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760149" w:rsidRPr="007D0C4C" w:rsidRDefault="007D0C4C">
      <w:pPr>
        <w:pStyle w:val="ConsPlusNormal"/>
        <w:numPr>
          <w:ilvl w:val="0"/>
          <w:numId w:val="1"/>
        </w:numPr>
        <w:spacing w:after="120"/>
        <w:jc w:val="both"/>
        <w:rPr>
          <w:sz w:val="22"/>
          <w:szCs w:val="22"/>
        </w:rPr>
      </w:pPr>
      <w:r w:rsidRPr="007D0C4C">
        <w:rPr>
          <w:sz w:val="22"/>
          <w:szCs w:val="22"/>
        </w:rPr>
        <w:t>Содержащаяся в годовых отчетах Эмитента, за исключением информации, которая ранее уже была раскрыта;</w:t>
      </w:r>
    </w:p>
    <w:p w:rsidR="00760149" w:rsidRPr="007D0C4C" w:rsidRDefault="007D0C4C">
      <w:pPr>
        <w:pStyle w:val="ConsPlusNormal"/>
        <w:numPr>
          <w:ilvl w:val="0"/>
          <w:numId w:val="1"/>
        </w:numPr>
        <w:spacing w:after="120"/>
        <w:jc w:val="both"/>
        <w:rPr>
          <w:sz w:val="22"/>
          <w:szCs w:val="22"/>
        </w:rPr>
      </w:pPr>
      <w:r w:rsidRPr="007D0C4C">
        <w:rPr>
          <w:sz w:val="22"/>
          <w:szCs w:val="22"/>
        </w:rPr>
        <w:t>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составляющая годовую бухгалтерскую (финансовую) отчетность Эмитента, вместе с аудиторским заключением о ней, если в отношении нее проведен аудит;</w:t>
      </w:r>
    </w:p>
    <w:p w:rsidR="00760149" w:rsidRPr="007D0C4C" w:rsidRDefault="007D0C4C">
      <w:pPr>
        <w:pStyle w:val="ConsPlusNormal"/>
        <w:numPr>
          <w:ilvl w:val="0"/>
          <w:numId w:val="1"/>
        </w:numPr>
        <w:spacing w:after="120"/>
        <w:jc w:val="both"/>
        <w:rPr>
          <w:sz w:val="22"/>
          <w:szCs w:val="22"/>
        </w:rPr>
      </w:pPr>
      <w:r w:rsidRPr="007D0C4C">
        <w:rPr>
          <w:sz w:val="22"/>
          <w:szCs w:val="22"/>
        </w:rPr>
        <w:lastRenderedPageBreak/>
        <w:t>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p>
    <w:p w:rsidR="00760149" w:rsidRPr="007D0C4C" w:rsidRDefault="007D0C4C">
      <w:pPr>
        <w:pStyle w:val="ConsPlusNormal"/>
        <w:numPr>
          <w:ilvl w:val="0"/>
          <w:numId w:val="1"/>
        </w:numPr>
        <w:spacing w:after="120"/>
        <w:jc w:val="both"/>
        <w:rPr>
          <w:sz w:val="22"/>
          <w:szCs w:val="22"/>
        </w:rPr>
      </w:pPr>
      <w:r w:rsidRPr="007D0C4C">
        <w:rPr>
          <w:sz w:val="22"/>
          <w:szCs w:val="22"/>
        </w:rPr>
        <w:t>Содержащаяся в проспекте ценных бумаг Эмитента, за исключением информации, которая ранее уже была раскрыта;</w:t>
      </w:r>
    </w:p>
    <w:p w:rsidR="00760149" w:rsidRPr="007D0C4C" w:rsidRDefault="007D0C4C">
      <w:pPr>
        <w:pStyle w:val="ConsPlusNormal"/>
        <w:numPr>
          <w:ilvl w:val="0"/>
          <w:numId w:val="1"/>
        </w:numPr>
        <w:spacing w:after="120"/>
        <w:jc w:val="both"/>
        <w:rPr>
          <w:sz w:val="22"/>
          <w:szCs w:val="22"/>
        </w:rPr>
      </w:pPr>
      <w:r w:rsidRPr="007D0C4C">
        <w:rPr>
          <w:sz w:val="22"/>
          <w:szCs w:val="22"/>
        </w:rPr>
        <w:t>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760149" w:rsidRPr="007D0C4C" w:rsidRDefault="007D0C4C">
      <w:pPr>
        <w:pStyle w:val="ConsPlusNormal"/>
        <w:numPr>
          <w:ilvl w:val="0"/>
          <w:numId w:val="1"/>
        </w:numPr>
        <w:spacing w:after="120"/>
        <w:jc w:val="both"/>
        <w:rPr>
          <w:sz w:val="22"/>
          <w:szCs w:val="22"/>
        </w:rPr>
      </w:pPr>
      <w:r w:rsidRPr="007D0C4C">
        <w:rPr>
          <w:sz w:val="22"/>
          <w:szCs w:val="22"/>
        </w:rPr>
        <w:t>О заключении Эмитентом договора о стратегическом партнерстве или иного договора (сделки), за исключением договоров (сделок), предусмотренных пунктами 21, 22 и 27 настоящего Перечня,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760149" w:rsidRPr="007D0C4C" w:rsidRDefault="007D0C4C">
      <w:pPr>
        <w:pStyle w:val="ConsPlusNormal"/>
        <w:numPr>
          <w:ilvl w:val="0"/>
          <w:numId w:val="1"/>
        </w:numPr>
        <w:spacing w:after="120"/>
        <w:jc w:val="both"/>
        <w:rPr>
          <w:sz w:val="22"/>
          <w:szCs w:val="22"/>
        </w:rPr>
      </w:pPr>
      <w:r w:rsidRPr="007D0C4C">
        <w:rPr>
          <w:sz w:val="22"/>
          <w:szCs w:val="22"/>
        </w:rPr>
        <w:t>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760149" w:rsidRPr="007D0C4C" w:rsidRDefault="007D0C4C">
      <w:pPr>
        <w:pStyle w:val="ConsPlusNormal"/>
        <w:numPr>
          <w:ilvl w:val="0"/>
          <w:numId w:val="1"/>
        </w:numPr>
        <w:spacing w:after="120"/>
        <w:jc w:val="both"/>
        <w:rPr>
          <w:sz w:val="22"/>
          <w:szCs w:val="22"/>
        </w:rPr>
      </w:pPr>
      <w:r w:rsidRPr="007D0C4C">
        <w:rPr>
          <w:sz w:val="22"/>
          <w:szCs w:val="22"/>
        </w:rPr>
        <w:t>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760149" w:rsidRPr="007D0C4C" w:rsidRDefault="007D0C4C">
      <w:pPr>
        <w:pStyle w:val="ConsPlusNormal"/>
        <w:numPr>
          <w:ilvl w:val="0"/>
          <w:numId w:val="1"/>
        </w:numPr>
        <w:spacing w:after="120"/>
        <w:jc w:val="both"/>
        <w:rPr>
          <w:sz w:val="22"/>
          <w:szCs w:val="22"/>
        </w:rPr>
      </w:pPr>
      <w:r w:rsidRPr="007D0C4C">
        <w:rPr>
          <w:sz w:val="22"/>
          <w:szCs w:val="22"/>
        </w:rPr>
        <w:lastRenderedPageBreak/>
        <w:t>Об обстоятельствах, предусмотренных абзацем вторым подпункта 23 пункта 1 статьи 2 Федерального закона от 22 апреля 1996 года № 39-ФЗ «О рынке ценных бумаг», в зависимости от наступления или ненаступления которых осуществляются либо не осуществляются выплаты по структурным облигациям Эмитента, допущенным к организованным торгам (в отношении которых подана заявка о допуске к организованным торгам) (включая выплаты при погашении структурных облигаций) (далее – обстоятельства), с указанием числовых значений (параметров, условий) обстоятельств или порядка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за исключением информации, которая ранее уже была раскрыта;</w:t>
      </w:r>
    </w:p>
    <w:p w:rsidR="00760149" w:rsidRPr="007D0C4C" w:rsidRDefault="007D0C4C">
      <w:pPr>
        <w:pStyle w:val="ConsPlusNormal"/>
        <w:numPr>
          <w:ilvl w:val="0"/>
          <w:numId w:val="1"/>
        </w:numPr>
        <w:spacing w:after="120"/>
        <w:jc w:val="both"/>
        <w:rPr>
          <w:sz w:val="22"/>
          <w:szCs w:val="22"/>
        </w:rPr>
      </w:pPr>
      <w:r w:rsidRPr="007D0C4C">
        <w:rPr>
          <w:sz w:val="22"/>
          <w:szCs w:val="22"/>
        </w:rPr>
        <w:t>О числовых значениях (параметрах, условиях) обстоятельств или порядке их определения, а также о размере выплат по структурной облигации (включая размер выплат при погашении структурной облигации) или порядке его определения, если они устанавливаются уполномоченным органом Эмитента до начала размещения структурных облигаций в соответствии с подпунктами 1 и 2 пункта 3 статьи 27</w:t>
      </w:r>
      <w:r w:rsidRPr="007D0C4C">
        <w:rPr>
          <w:sz w:val="22"/>
          <w:szCs w:val="22"/>
          <w:vertAlign w:val="superscript"/>
        </w:rPr>
        <w:t>1-1</w:t>
      </w:r>
      <w:r w:rsidRPr="007D0C4C">
        <w:rPr>
          <w:sz w:val="22"/>
          <w:szCs w:val="22"/>
        </w:rPr>
        <w:t xml:space="preserve"> Федерального закона от 22 апреля 1996 года № 39-ФЗ «О рынке ценных бумаг», за исключением информации, которая ранее уже была раскрыта (в случае если такая информация не содержится в решении о выпуске структурных облигаций);</w:t>
      </w:r>
    </w:p>
    <w:p w:rsidR="00760149" w:rsidRPr="007D0C4C" w:rsidRDefault="007D0C4C">
      <w:pPr>
        <w:pStyle w:val="ConsPlusNormal"/>
        <w:numPr>
          <w:ilvl w:val="0"/>
          <w:numId w:val="1"/>
        </w:numPr>
        <w:spacing w:after="120"/>
        <w:jc w:val="both"/>
        <w:rPr>
          <w:sz w:val="22"/>
          <w:szCs w:val="22"/>
        </w:rPr>
      </w:pPr>
      <w:r w:rsidRPr="007D0C4C">
        <w:rPr>
          <w:sz w:val="22"/>
          <w:szCs w:val="22"/>
        </w:rPr>
        <w:t>О возбуждении уголовного дела (поступившая Эмитенту от органов предварительного следствия или органов дознания)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760149" w:rsidRPr="007D0C4C" w:rsidRDefault="007D0C4C">
      <w:pPr>
        <w:pStyle w:val="ConsPlusNormal"/>
        <w:numPr>
          <w:ilvl w:val="0"/>
          <w:numId w:val="1"/>
        </w:numPr>
        <w:spacing w:after="120"/>
        <w:jc w:val="both"/>
        <w:rPr>
          <w:sz w:val="22"/>
          <w:szCs w:val="22"/>
        </w:rPr>
      </w:pPr>
      <w:r w:rsidRPr="007D0C4C">
        <w:rPr>
          <w:sz w:val="22"/>
          <w:szCs w:val="22"/>
        </w:rPr>
        <w:t>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760149" w:rsidRPr="007D0C4C" w:rsidRDefault="007D0C4C">
      <w:pPr>
        <w:pStyle w:val="ConsPlusNormal"/>
        <w:numPr>
          <w:ilvl w:val="0"/>
          <w:numId w:val="1"/>
        </w:numPr>
        <w:spacing w:after="120"/>
        <w:jc w:val="both"/>
        <w:rPr>
          <w:sz w:val="22"/>
          <w:szCs w:val="22"/>
        </w:rPr>
      </w:pPr>
      <w:r w:rsidRPr="007D0C4C">
        <w:rPr>
          <w:sz w:val="22"/>
          <w:szCs w:val="22"/>
        </w:rPr>
        <w:t>Об иных событиях (действиях), оказывающих по мнению Эмитента, существенное влияние на стоимость или котировки его ценных бумаг, в том числе иная информация в отношении</w:t>
      </w:r>
      <w:r w:rsidRPr="007D0C4C">
        <w:rPr>
          <w:color w:val="131313"/>
          <w:spacing w:val="-5"/>
          <w:sz w:val="22"/>
          <w:szCs w:val="22"/>
        </w:rPr>
        <w:t xml:space="preserve"> </w:t>
      </w:r>
      <w:r w:rsidRPr="007D0C4C">
        <w:rPr>
          <w:color w:val="131313"/>
          <w:sz w:val="22"/>
          <w:szCs w:val="22"/>
        </w:rPr>
        <w:t>Эмитента,</w:t>
      </w:r>
      <w:r w:rsidRPr="007D0C4C">
        <w:rPr>
          <w:color w:val="131313"/>
          <w:spacing w:val="-10"/>
          <w:sz w:val="22"/>
          <w:szCs w:val="22"/>
        </w:rPr>
        <w:t xml:space="preserve"> </w:t>
      </w:r>
      <w:r w:rsidRPr="007D0C4C">
        <w:rPr>
          <w:color w:val="131313"/>
          <w:sz w:val="22"/>
          <w:szCs w:val="22"/>
        </w:rPr>
        <w:t>его</w:t>
      </w:r>
      <w:r w:rsidRPr="007D0C4C">
        <w:rPr>
          <w:color w:val="131313"/>
          <w:spacing w:val="-17"/>
          <w:sz w:val="22"/>
          <w:szCs w:val="22"/>
        </w:rPr>
        <w:t xml:space="preserve"> </w:t>
      </w:r>
      <w:r w:rsidRPr="007D0C4C">
        <w:rPr>
          <w:color w:val="131313"/>
          <w:sz w:val="22"/>
          <w:szCs w:val="22"/>
        </w:rPr>
        <w:t>акционеров</w:t>
      </w:r>
      <w:r w:rsidRPr="007D0C4C">
        <w:rPr>
          <w:color w:val="131313"/>
          <w:spacing w:val="-7"/>
          <w:sz w:val="22"/>
          <w:szCs w:val="22"/>
        </w:rPr>
        <w:t xml:space="preserve"> </w:t>
      </w:r>
      <w:r w:rsidRPr="007D0C4C">
        <w:rPr>
          <w:color w:val="131313"/>
          <w:sz w:val="22"/>
          <w:szCs w:val="22"/>
        </w:rPr>
        <w:t>или</w:t>
      </w:r>
      <w:r w:rsidRPr="007D0C4C">
        <w:rPr>
          <w:color w:val="131313"/>
          <w:spacing w:val="-14"/>
          <w:sz w:val="22"/>
          <w:szCs w:val="22"/>
        </w:rPr>
        <w:t xml:space="preserve"> </w:t>
      </w:r>
      <w:r w:rsidRPr="007D0C4C">
        <w:rPr>
          <w:color w:val="131313"/>
          <w:sz w:val="22"/>
          <w:szCs w:val="22"/>
        </w:rPr>
        <w:t>должностных</w:t>
      </w:r>
      <w:r w:rsidRPr="007D0C4C">
        <w:rPr>
          <w:color w:val="131313"/>
          <w:spacing w:val="1"/>
          <w:sz w:val="22"/>
          <w:szCs w:val="22"/>
        </w:rPr>
        <w:t xml:space="preserve"> </w:t>
      </w:r>
      <w:r w:rsidRPr="007D0C4C">
        <w:rPr>
          <w:color w:val="131313"/>
          <w:sz w:val="22"/>
          <w:szCs w:val="22"/>
        </w:rPr>
        <w:t>лиц,</w:t>
      </w:r>
      <w:r w:rsidRPr="007D0C4C">
        <w:rPr>
          <w:color w:val="131313"/>
          <w:spacing w:val="-17"/>
          <w:sz w:val="22"/>
          <w:szCs w:val="22"/>
        </w:rPr>
        <w:t xml:space="preserve"> </w:t>
      </w:r>
      <w:r w:rsidRPr="007D0C4C">
        <w:rPr>
          <w:color w:val="131313"/>
          <w:sz w:val="22"/>
          <w:szCs w:val="22"/>
        </w:rPr>
        <w:t>его ценных бумаг, допущенных к обращению на организованных торгах, или производных финансовых инструментов на данные ценные бумаги, которая не является общеизвестной лицам, которые обычно осуществляют операции или вероятно могли бы осуществить операции с ценными бумагами Эмитента</w:t>
      </w:r>
      <w:r w:rsidRPr="007D0C4C">
        <w:rPr>
          <w:position w:val="2"/>
          <w:sz w:val="22"/>
          <w:szCs w:val="22"/>
        </w:rPr>
        <w:t>,</w:t>
      </w:r>
      <w:r w:rsidRPr="007D0C4C">
        <w:rPr>
          <w:color w:val="131313"/>
          <w:sz w:val="22"/>
          <w:szCs w:val="22"/>
        </w:rPr>
        <w:t xml:space="preserve"> допущенными к обращению на организованных торгах, но могла бы, если бы была общеизвестна</w:t>
      </w:r>
      <w:r w:rsidRPr="007D0C4C">
        <w:rPr>
          <w:position w:val="1"/>
          <w:sz w:val="22"/>
          <w:szCs w:val="22"/>
        </w:rPr>
        <w:t xml:space="preserve">, </w:t>
      </w:r>
      <w:r w:rsidRPr="007D0C4C">
        <w:rPr>
          <w:color w:val="131313"/>
          <w:sz w:val="22"/>
          <w:szCs w:val="22"/>
        </w:rPr>
        <w:t>существенно повлиять на цену ценных бумаг Эмитента, допущенных к обращению на организованных</w:t>
      </w:r>
      <w:r w:rsidRPr="007D0C4C">
        <w:rPr>
          <w:color w:val="131313"/>
          <w:spacing w:val="3"/>
          <w:sz w:val="22"/>
          <w:szCs w:val="22"/>
        </w:rPr>
        <w:t xml:space="preserve"> </w:t>
      </w:r>
      <w:r w:rsidRPr="007D0C4C">
        <w:rPr>
          <w:color w:val="131313"/>
          <w:sz w:val="22"/>
          <w:szCs w:val="22"/>
        </w:rPr>
        <w:t>торгах.</w:t>
      </w:r>
    </w:p>
    <w:p w:rsidR="00760149" w:rsidRPr="007D0C4C" w:rsidRDefault="00760149">
      <w:pPr>
        <w:pStyle w:val="ac"/>
        <w:widowControl w:val="0"/>
        <w:tabs>
          <w:tab w:val="left" w:pos="829"/>
        </w:tabs>
        <w:autoSpaceDE w:val="0"/>
        <w:autoSpaceDN w:val="0"/>
        <w:spacing w:after="0" w:line="240" w:lineRule="auto"/>
        <w:ind w:left="945" w:right="114"/>
        <w:contextualSpacing w:val="0"/>
        <w:jc w:val="both"/>
        <w:rPr>
          <w:rFonts w:ascii="Times New Roman" w:hAnsi="Times New Roman"/>
        </w:rPr>
      </w:pPr>
    </w:p>
    <w:p w:rsidR="00760149" w:rsidRPr="007D0C4C" w:rsidRDefault="00760149">
      <w:pPr>
        <w:spacing w:after="0" w:line="240" w:lineRule="auto"/>
        <w:jc w:val="both"/>
        <w:rPr>
          <w:rFonts w:ascii="Times New Roman" w:hAnsi="Times New Roman"/>
        </w:rPr>
        <w:sectPr w:rsidR="00760149" w:rsidRPr="007D0C4C">
          <w:footerReference w:type="default" r:id="rId7"/>
          <w:pgSz w:w="11910" w:h="16840"/>
          <w:pgMar w:top="980" w:right="680" w:bottom="280" w:left="1580" w:header="720" w:footer="720" w:gutter="0"/>
          <w:cols w:space="720"/>
        </w:sectPr>
      </w:pPr>
    </w:p>
    <w:p w:rsidR="00760149" w:rsidRPr="007D0C4C" w:rsidRDefault="007D0C4C">
      <w:pPr>
        <w:spacing w:after="0" w:line="240" w:lineRule="auto"/>
        <w:ind w:left="107"/>
        <w:rPr>
          <w:rFonts w:ascii="Times New Roman" w:hAnsi="Times New Roman"/>
        </w:rPr>
      </w:pPr>
      <w:r w:rsidRPr="007D0C4C">
        <w:rPr>
          <w:rFonts w:ascii="Times New Roman" w:hAnsi="Times New Roman"/>
          <w:b/>
          <w:color w:val="131313"/>
        </w:rPr>
        <w:lastRenderedPageBreak/>
        <w:t xml:space="preserve">Примечание 1. </w:t>
      </w:r>
      <w:r w:rsidRPr="007D0C4C">
        <w:rPr>
          <w:rFonts w:ascii="Times New Roman" w:hAnsi="Times New Roman"/>
          <w:color w:val="131313"/>
        </w:rPr>
        <w:t>К инсайдерской информации не относятся:</w:t>
      </w:r>
    </w:p>
    <w:p w:rsidR="00760149" w:rsidRPr="007D0C4C" w:rsidRDefault="00760149">
      <w:pPr>
        <w:pStyle w:val="a3"/>
        <w:spacing w:before="0"/>
        <w:ind w:left="0" w:firstLine="0"/>
        <w:jc w:val="left"/>
        <w:rPr>
          <w:sz w:val="22"/>
          <w:szCs w:val="22"/>
          <w:lang w:val="ru-RU"/>
        </w:rPr>
      </w:pPr>
    </w:p>
    <w:p w:rsidR="00760149" w:rsidRPr="007D0C4C" w:rsidRDefault="007D0C4C">
      <w:pPr>
        <w:pStyle w:val="ac"/>
        <w:widowControl w:val="0"/>
        <w:numPr>
          <w:ilvl w:val="0"/>
          <w:numId w:val="4"/>
        </w:numPr>
        <w:tabs>
          <w:tab w:val="left" w:pos="825"/>
        </w:tabs>
        <w:autoSpaceDE w:val="0"/>
        <w:autoSpaceDN w:val="0"/>
        <w:spacing w:after="0" w:line="240" w:lineRule="auto"/>
        <w:ind w:left="827" w:right="142" w:hanging="363"/>
        <w:contextualSpacing w:val="0"/>
        <w:jc w:val="both"/>
        <w:rPr>
          <w:rFonts w:ascii="Times New Roman" w:hAnsi="Times New Roman"/>
        </w:rPr>
      </w:pPr>
      <w:r w:rsidRPr="007D0C4C">
        <w:rPr>
          <w:rFonts w:ascii="Times New Roman" w:hAnsi="Times New Roman"/>
          <w:color w:val="131313"/>
        </w:rPr>
        <w:t>сведения,</w:t>
      </w:r>
      <w:r w:rsidRPr="007D0C4C">
        <w:rPr>
          <w:rFonts w:ascii="Times New Roman" w:hAnsi="Times New Roman"/>
          <w:color w:val="131313"/>
          <w:spacing w:val="-8"/>
        </w:rPr>
        <w:t xml:space="preserve"> </w:t>
      </w:r>
      <w:r w:rsidRPr="007D0C4C">
        <w:rPr>
          <w:rFonts w:ascii="Times New Roman" w:hAnsi="Times New Roman"/>
          <w:color w:val="131313"/>
        </w:rPr>
        <w:t>ставшие</w:t>
      </w:r>
      <w:r w:rsidRPr="007D0C4C">
        <w:rPr>
          <w:rFonts w:ascii="Times New Roman" w:hAnsi="Times New Roman"/>
          <w:color w:val="131313"/>
          <w:spacing w:val="-15"/>
        </w:rPr>
        <w:t xml:space="preserve"> </w:t>
      </w:r>
      <w:r w:rsidRPr="007D0C4C">
        <w:rPr>
          <w:rFonts w:ascii="Times New Roman" w:hAnsi="Times New Roman"/>
          <w:color w:val="131313"/>
        </w:rPr>
        <w:t>доступными неограниченному</w:t>
      </w:r>
      <w:r w:rsidRPr="007D0C4C">
        <w:rPr>
          <w:rFonts w:ascii="Times New Roman" w:hAnsi="Times New Roman"/>
          <w:color w:val="131313"/>
          <w:spacing w:val="-28"/>
        </w:rPr>
        <w:t xml:space="preserve"> </w:t>
      </w:r>
      <w:r w:rsidRPr="007D0C4C">
        <w:rPr>
          <w:rFonts w:ascii="Times New Roman" w:hAnsi="Times New Roman"/>
          <w:color w:val="131313"/>
        </w:rPr>
        <w:t>кругу</w:t>
      </w:r>
      <w:r w:rsidRPr="007D0C4C">
        <w:rPr>
          <w:rFonts w:ascii="Times New Roman" w:hAnsi="Times New Roman"/>
          <w:color w:val="131313"/>
          <w:spacing w:val="-17"/>
        </w:rPr>
        <w:t xml:space="preserve"> </w:t>
      </w:r>
      <w:r w:rsidRPr="007D0C4C">
        <w:rPr>
          <w:rFonts w:ascii="Times New Roman" w:hAnsi="Times New Roman"/>
          <w:color w:val="131313"/>
        </w:rPr>
        <w:t>лиц,</w:t>
      </w:r>
      <w:r w:rsidRPr="007D0C4C">
        <w:rPr>
          <w:rFonts w:ascii="Times New Roman" w:hAnsi="Times New Roman"/>
          <w:color w:val="131313"/>
          <w:spacing w:val="-23"/>
        </w:rPr>
        <w:t xml:space="preserve"> </w:t>
      </w:r>
      <w:r w:rsidRPr="007D0C4C">
        <w:rPr>
          <w:rFonts w:ascii="Times New Roman" w:hAnsi="Times New Roman"/>
          <w:color w:val="131313"/>
        </w:rPr>
        <w:t>в</w:t>
      </w:r>
      <w:r w:rsidRPr="007D0C4C">
        <w:rPr>
          <w:rFonts w:ascii="Times New Roman" w:hAnsi="Times New Roman"/>
          <w:color w:val="131313"/>
          <w:spacing w:val="-25"/>
        </w:rPr>
        <w:t xml:space="preserve"> </w:t>
      </w:r>
      <w:r w:rsidRPr="007D0C4C">
        <w:rPr>
          <w:rFonts w:ascii="Times New Roman" w:hAnsi="Times New Roman"/>
          <w:color w:val="131313"/>
        </w:rPr>
        <w:t>том</w:t>
      </w:r>
      <w:r w:rsidRPr="007D0C4C">
        <w:rPr>
          <w:rFonts w:ascii="Times New Roman" w:hAnsi="Times New Roman"/>
          <w:color w:val="131313"/>
          <w:spacing w:val="-19"/>
        </w:rPr>
        <w:t xml:space="preserve"> </w:t>
      </w:r>
      <w:r w:rsidRPr="007D0C4C">
        <w:rPr>
          <w:rFonts w:ascii="Times New Roman" w:hAnsi="Times New Roman"/>
          <w:color w:val="131313"/>
        </w:rPr>
        <w:t>числе</w:t>
      </w:r>
      <w:r w:rsidRPr="007D0C4C">
        <w:rPr>
          <w:rFonts w:ascii="Times New Roman" w:hAnsi="Times New Roman"/>
          <w:color w:val="131313"/>
          <w:spacing w:val="-22"/>
        </w:rPr>
        <w:t xml:space="preserve"> </w:t>
      </w:r>
      <w:r w:rsidRPr="007D0C4C">
        <w:rPr>
          <w:rFonts w:ascii="Times New Roman" w:hAnsi="Times New Roman"/>
          <w:color w:val="131313"/>
        </w:rPr>
        <w:t>в</w:t>
      </w:r>
      <w:r w:rsidRPr="007D0C4C">
        <w:rPr>
          <w:rFonts w:ascii="Times New Roman" w:hAnsi="Times New Roman"/>
          <w:color w:val="131313"/>
          <w:spacing w:val="-23"/>
        </w:rPr>
        <w:t xml:space="preserve"> </w:t>
      </w:r>
      <w:r w:rsidRPr="007D0C4C">
        <w:rPr>
          <w:rFonts w:ascii="Times New Roman" w:hAnsi="Times New Roman"/>
          <w:color w:val="131313"/>
        </w:rPr>
        <w:t>результате их распространения;</w:t>
      </w:r>
    </w:p>
    <w:p w:rsidR="00760149" w:rsidRPr="007D0C4C" w:rsidRDefault="007D0C4C">
      <w:pPr>
        <w:pStyle w:val="ac"/>
        <w:widowControl w:val="0"/>
        <w:numPr>
          <w:ilvl w:val="0"/>
          <w:numId w:val="4"/>
        </w:numPr>
        <w:tabs>
          <w:tab w:val="left" w:pos="825"/>
        </w:tabs>
        <w:autoSpaceDE w:val="0"/>
        <w:autoSpaceDN w:val="0"/>
        <w:spacing w:after="0" w:line="240" w:lineRule="auto"/>
        <w:ind w:right="114" w:hanging="360"/>
        <w:contextualSpacing w:val="0"/>
        <w:jc w:val="both"/>
        <w:rPr>
          <w:rFonts w:ascii="Times New Roman" w:hAnsi="Times New Roman"/>
        </w:rPr>
      </w:pPr>
      <w:r w:rsidRPr="007D0C4C">
        <w:rPr>
          <w:rFonts w:ascii="Times New Roman" w:hAnsi="Times New Roman"/>
          <w:color w:val="131313"/>
        </w:rPr>
        <w:t>осуществленные на основе общедоступной информации исследования, прогнозы и оценки в отношении финансовых инструментов, иностранной валюты и (или) товаров, а также рекомендации и (или) предложения об осуществлении операций с финансовыми инструментами, иностранной валютой и (или)</w:t>
      </w:r>
      <w:r w:rsidRPr="007D0C4C">
        <w:rPr>
          <w:rFonts w:ascii="Times New Roman" w:hAnsi="Times New Roman"/>
          <w:color w:val="131313"/>
          <w:spacing w:val="-27"/>
        </w:rPr>
        <w:t xml:space="preserve"> </w:t>
      </w:r>
      <w:r w:rsidRPr="007D0C4C">
        <w:rPr>
          <w:rFonts w:ascii="Times New Roman" w:hAnsi="Times New Roman"/>
          <w:color w:val="131313"/>
        </w:rPr>
        <w:t>товарами.</w:t>
      </w:r>
    </w:p>
    <w:p w:rsidR="00760149" w:rsidRPr="007D0C4C" w:rsidRDefault="00760149">
      <w:pPr>
        <w:pStyle w:val="a3"/>
        <w:spacing w:before="0"/>
        <w:ind w:left="102" w:right="132" w:firstLine="4"/>
        <w:rPr>
          <w:b/>
          <w:color w:val="131313"/>
          <w:sz w:val="22"/>
          <w:szCs w:val="22"/>
          <w:lang w:val="ru-RU"/>
        </w:rPr>
      </w:pPr>
    </w:p>
    <w:p w:rsidR="00760149" w:rsidRDefault="007D0C4C">
      <w:pPr>
        <w:pStyle w:val="a3"/>
        <w:spacing w:before="0"/>
        <w:ind w:left="102" w:right="132" w:firstLine="4"/>
        <w:rPr>
          <w:sz w:val="22"/>
          <w:szCs w:val="22"/>
          <w:lang w:val="ru-RU"/>
        </w:rPr>
      </w:pPr>
      <w:r w:rsidRPr="007D0C4C">
        <w:rPr>
          <w:b/>
          <w:color w:val="131313"/>
          <w:sz w:val="22"/>
          <w:szCs w:val="22"/>
          <w:lang w:val="ru-RU"/>
        </w:rPr>
        <w:t>Примечание 2.</w:t>
      </w:r>
      <w:r w:rsidRPr="007D0C4C">
        <w:rPr>
          <w:color w:val="131313"/>
          <w:sz w:val="22"/>
          <w:szCs w:val="22"/>
          <w:lang w:val="ru-RU"/>
        </w:rPr>
        <w:t xml:space="preserve"> В случае изменения действующего законодательства Российской Федерации и/или подзаконных нормативных правовых актов после утверждения настоящего документа, Перечень информации, относящейся к инсайдерской информации, будет действовать с учетом изменившихся требований законодательства Российской Федерации и/или подзаконных нормативных правовых актов.</w:t>
      </w:r>
    </w:p>
    <w:p w:rsidR="00760149" w:rsidRDefault="00760149">
      <w:pPr>
        <w:pStyle w:val="ac"/>
        <w:spacing w:after="0" w:line="240" w:lineRule="auto"/>
        <w:ind w:left="945"/>
        <w:jc w:val="both"/>
        <w:rPr>
          <w:rFonts w:ascii="Times New Roman" w:hAnsi="Times New Roman"/>
        </w:rPr>
      </w:pPr>
    </w:p>
    <w:p w:rsidR="00760149" w:rsidRDefault="00760149">
      <w:pPr>
        <w:pStyle w:val="ac"/>
        <w:spacing w:after="0" w:line="240" w:lineRule="auto"/>
        <w:ind w:left="945"/>
        <w:jc w:val="both"/>
        <w:rPr>
          <w:rFonts w:ascii="Times New Roman" w:hAnsi="Times New Roman"/>
        </w:rPr>
      </w:pPr>
    </w:p>
    <w:sectPr w:rsidR="007601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9B0" w:rsidRDefault="001F59B0">
      <w:pPr>
        <w:spacing w:after="0" w:line="240" w:lineRule="auto"/>
      </w:pPr>
      <w:r>
        <w:separator/>
      </w:r>
    </w:p>
  </w:endnote>
  <w:endnote w:type="continuationSeparator" w:id="0">
    <w:p w:rsidR="001F59B0" w:rsidRDefault="001F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12291"/>
      <w:docPartObj>
        <w:docPartGallery w:val="Page Numbers (Bottom of Page)"/>
        <w:docPartUnique/>
      </w:docPartObj>
    </w:sdtPr>
    <w:sdtEndPr/>
    <w:sdtContent>
      <w:p w:rsidR="00760149" w:rsidRDefault="007D0C4C">
        <w:pPr>
          <w:pStyle w:val="af0"/>
          <w:jc w:val="right"/>
        </w:pPr>
        <w:r>
          <w:fldChar w:fldCharType="begin"/>
        </w:r>
        <w:r>
          <w:instrText>PAGE   \* MERGEFORMAT</w:instrText>
        </w:r>
        <w:r>
          <w:fldChar w:fldCharType="separate"/>
        </w:r>
        <w:r w:rsidR="004E644D">
          <w:rPr>
            <w:noProof/>
          </w:rPr>
          <w:t>1</w:t>
        </w:r>
        <w:r>
          <w:fldChar w:fldCharType="end"/>
        </w:r>
      </w:p>
    </w:sdtContent>
  </w:sdt>
  <w:p w:rsidR="00760149" w:rsidRDefault="0076014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9B0" w:rsidRDefault="001F59B0">
      <w:pPr>
        <w:spacing w:after="0" w:line="240" w:lineRule="auto"/>
      </w:pPr>
      <w:r>
        <w:separator/>
      </w:r>
    </w:p>
  </w:footnote>
  <w:footnote w:type="continuationSeparator" w:id="0">
    <w:p w:rsidR="001F59B0" w:rsidRDefault="001F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11AF"/>
    <w:multiLevelType w:val="hybridMultilevel"/>
    <w:tmpl w:val="2B84F2AE"/>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24BF600C"/>
    <w:multiLevelType w:val="multilevel"/>
    <w:tmpl w:val="E6DC3868"/>
    <w:lvl w:ilvl="0">
      <w:start w:val="1"/>
      <w:numFmt w:val="decimal"/>
      <w:lvlText w:val="%1."/>
      <w:lvlJc w:val="left"/>
      <w:pPr>
        <w:ind w:left="945" w:hanging="360"/>
      </w:pPr>
    </w:lvl>
    <w:lvl w:ilvl="1">
      <w:start w:val="1"/>
      <w:numFmt w:val="decimal"/>
      <w:isLgl/>
      <w:lvlText w:val="%1.%2."/>
      <w:lvlJc w:val="left"/>
      <w:pPr>
        <w:ind w:left="945" w:hanging="36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2" w15:restartNumberingAfterBreak="0">
    <w:nsid w:val="718B3915"/>
    <w:multiLevelType w:val="hybridMultilevel"/>
    <w:tmpl w:val="1AEC25FC"/>
    <w:lvl w:ilvl="0" w:tplc="935001E8">
      <w:numFmt w:val="bullet"/>
      <w:lvlText w:val="•"/>
      <w:lvlJc w:val="left"/>
      <w:pPr>
        <w:ind w:left="824" w:hanging="366"/>
      </w:pPr>
      <w:rPr>
        <w:rFonts w:hint="default"/>
        <w:w w:val="100"/>
      </w:rPr>
    </w:lvl>
    <w:lvl w:ilvl="1" w:tplc="8EE2E38A">
      <w:numFmt w:val="bullet"/>
      <w:lvlText w:val="•"/>
      <w:lvlJc w:val="left"/>
      <w:pPr>
        <w:ind w:left="1702" w:hanging="366"/>
      </w:pPr>
      <w:rPr>
        <w:rFonts w:hint="default"/>
      </w:rPr>
    </w:lvl>
    <w:lvl w:ilvl="2" w:tplc="E954BED4">
      <w:numFmt w:val="bullet"/>
      <w:lvlText w:val="•"/>
      <w:lvlJc w:val="left"/>
      <w:pPr>
        <w:ind w:left="2585" w:hanging="366"/>
      </w:pPr>
      <w:rPr>
        <w:rFonts w:hint="default"/>
      </w:rPr>
    </w:lvl>
    <w:lvl w:ilvl="3" w:tplc="5566BCA0">
      <w:numFmt w:val="bullet"/>
      <w:lvlText w:val="•"/>
      <w:lvlJc w:val="left"/>
      <w:pPr>
        <w:ind w:left="3467" w:hanging="366"/>
      </w:pPr>
      <w:rPr>
        <w:rFonts w:hint="default"/>
      </w:rPr>
    </w:lvl>
    <w:lvl w:ilvl="4" w:tplc="EEEC922A">
      <w:numFmt w:val="bullet"/>
      <w:lvlText w:val="•"/>
      <w:lvlJc w:val="left"/>
      <w:pPr>
        <w:ind w:left="4350" w:hanging="366"/>
      </w:pPr>
      <w:rPr>
        <w:rFonts w:hint="default"/>
      </w:rPr>
    </w:lvl>
    <w:lvl w:ilvl="5" w:tplc="D4E881F4">
      <w:numFmt w:val="bullet"/>
      <w:lvlText w:val="•"/>
      <w:lvlJc w:val="left"/>
      <w:pPr>
        <w:ind w:left="5233" w:hanging="366"/>
      </w:pPr>
      <w:rPr>
        <w:rFonts w:hint="default"/>
      </w:rPr>
    </w:lvl>
    <w:lvl w:ilvl="6" w:tplc="D4509000">
      <w:numFmt w:val="bullet"/>
      <w:lvlText w:val="•"/>
      <w:lvlJc w:val="left"/>
      <w:pPr>
        <w:ind w:left="6115" w:hanging="366"/>
      </w:pPr>
      <w:rPr>
        <w:rFonts w:hint="default"/>
      </w:rPr>
    </w:lvl>
    <w:lvl w:ilvl="7" w:tplc="EDC689F0">
      <w:numFmt w:val="bullet"/>
      <w:lvlText w:val="•"/>
      <w:lvlJc w:val="left"/>
      <w:pPr>
        <w:ind w:left="6998" w:hanging="366"/>
      </w:pPr>
      <w:rPr>
        <w:rFonts w:hint="default"/>
      </w:rPr>
    </w:lvl>
    <w:lvl w:ilvl="8" w:tplc="60C602FC">
      <w:numFmt w:val="bullet"/>
      <w:lvlText w:val="•"/>
      <w:lvlJc w:val="left"/>
      <w:pPr>
        <w:ind w:left="7881" w:hanging="366"/>
      </w:pPr>
      <w:rPr>
        <w:rFonts w:hint="default"/>
      </w:rPr>
    </w:lvl>
  </w:abstractNum>
  <w:abstractNum w:abstractNumId="3" w15:restartNumberingAfterBreak="0">
    <w:nsid w:val="71D42F88"/>
    <w:multiLevelType w:val="multilevel"/>
    <w:tmpl w:val="78281BC6"/>
    <w:lvl w:ilvl="0">
      <w:start w:val="1"/>
      <w:numFmt w:val="decimal"/>
      <w:lvlText w:val="%1."/>
      <w:lvlJc w:val="left"/>
      <w:pPr>
        <w:ind w:left="824" w:hanging="367"/>
      </w:pPr>
      <w:rPr>
        <w:rFonts w:ascii="Times New Roman" w:eastAsia="Times New Roman" w:hAnsi="Times New Roman" w:cs="Times New Roman" w:hint="default"/>
        <w:spacing w:val="-44"/>
        <w:w w:val="98"/>
        <w:sz w:val="24"/>
        <w:szCs w:val="24"/>
      </w:rPr>
    </w:lvl>
    <w:lvl w:ilvl="1">
      <w:start w:val="1"/>
      <w:numFmt w:val="decimal"/>
      <w:lvlText w:val="%1.%2."/>
      <w:lvlJc w:val="left"/>
      <w:pPr>
        <w:ind w:left="1050" w:hanging="589"/>
      </w:pPr>
      <w:rPr>
        <w:rFonts w:ascii="Times New Roman" w:eastAsia="Times New Roman" w:hAnsi="Times New Roman" w:cs="Times New Roman" w:hint="default"/>
        <w:spacing w:val="-26"/>
        <w:w w:val="98"/>
        <w:position w:val="1"/>
        <w:sz w:val="24"/>
        <w:szCs w:val="24"/>
      </w:rPr>
    </w:lvl>
    <w:lvl w:ilvl="2">
      <w:numFmt w:val="bullet"/>
      <w:lvlText w:val="•"/>
      <w:lvlJc w:val="left"/>
      <w:pPr>
        <w:ind w:left="2014" w:hanging="589"/>
      </w:pPr>
      <w:rPr>
        <w:rFonts w:hint="default"/>
      </w:rPr>
    </w:lvl>
    <w:lvl w:ilvl="3">
      <w:numFmt w:val="bullet"/>
      <w:lvlText w:val="•"/>
      <w:lvlJc w:val="left"/>
      <w:pPr>
        <w:ind w:left="2968" w:hanging="589"/>
      </w:pPr>
      <w:rPr>
        <w:rFonts w:hint="default"/>
      </w:rPr>
    </w:lvl>
    <w:lvl w:ilvl="4">
      <w:numFmt w:val="bullet"/>
      <w:lvlText w:val="•"/>
      <w:lvlJc w:val="left"/>
      <w:pPr>
        <w:ind w:left="3922" w:hanging="589"/>
      </w:pPr>
      <w:rPr>
        <w:rFonts w:hint="default"/>
      </w:rPr>
    </w:lvl>
    <w:lvl w:ilvl="5">
      <w:numFmt w:val="bullet"/>
      <w:lvlText w:val="•"/>
      <w:lvlJc w:val="left"/>
      <w:pPr>
        <w:ind w:left="4876" w:hanging="589"/>
      </w:pPr>
      <w:rPr>
        <w:rFonts w:hint="default"/>
      </w:rPr>
    </w:lvl>
    <w:lvl w:ilvl="6">
      <w:numFmt w:val="bullet"/>
      <w:lvlText w:val="•"/>
      <w:lvlJc w:val="left"/>
      <w:pPr>
        <w:ind w:left="5830" w:hanging="589"/>
      </w:pPr>
      <w:rPr>
        <w:rFonts w:hint="default"/>
      </w:rPr>
    </w:lvl>
    <w:lvl w:ilvl="7">
      <w:numFmt w:val="bullet"/>
      <w:lvlText w:val="•"/>
      <w:lvlJc w:val="left"/>
      <w:pPr>
        <w:ind w:left="6784" w:hanging="589"/>
      </w:pPr>
      <w:rPr>
        <w:rFonts w:hint="default"/>
      </w:rPr>
    </w:lvl>
    <w:lvl w:ilvl="8">
      <w:numFmt w:val="bullet"/>
      <w:lvlText w:val="•"/>
      <w:lvlJc w:val="left"/>
      <w:pPr>
        <w:ind w:left="7738" w:hanging="589"/>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49"/>
    <w:rsid w:val="001F59B0"/>
    <w:rsid w:val="004E644D"/>
    <w:rsid w:val="00760149"/>
    <w:rsid w:val="007D0C4C"/>
    <w:rsid w:val="00E54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99847-71A9-4AE7-9CCA-BB343805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EastAsia" w:hAnsiTheme="minorHAns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eastAsiaTheme="minorEastAsia" w:cs="Times New Roman"/>
      <w:szCs w:val="24"/>
      <w:lang w:eastAsia="ru-RU"/>
    </w:rPr>
  </w:style>
  <w:style w:type="paragraph" w:styleId="a3">
    <w:name w:val="Body Text"/>
    <w:basedOn w:val="a"/>
    <w:link w:val="a4"/>
    <w:uiPriority w:val="1"/>
    <w:qFormat/>
    <w:pPr>
      <w:widowControl w:val="0"/>
      <w:autoSpaceDE w:val="0"/>
      <w:autoSpaceDN w:val="0"/>
      <w:spacing w:before="77" w:after="0" w:line="240" w:lineRule="auto"/>
      <w:ind w:left="824" w:hanging="362"/>
      <w:jc w:val="both"/>
    </w:pPr>
    <w:rPr>
      <w:rFonts w:ascii="Times New Roman" w:eastAsia="Times New Roman" w:hAnsi="Times New Roman"/>
      <w:sz w:val="24"/>
      <w:szCs w:val="24"/>
      <w:lang w:val="en-US" w:eastAsia="en-US"/>
    </w:rPr>
  </w:style>
  <w:style w:type="character" w:customStyle="1" w:styleId="a4">
    <w:name w:val="Основной текст Знак"/>
    <w:basedOn w:val="a0"/>
    <w:link w:val="a3"/>
    <w:uiPriority w:val="1"/>
    <w:rPr>
      <w:rFonts w:eastAsia="Times New Roman" w:cs="Times New Roman"/>
      <w:szCs w:val="24"/>
      <w:lang w:val="en-US"/>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character" w:customStyle="1" w:styleId="a7">
    <w:name w:val="Текст примечания Знак"/>
    <w:basedOn w:val="a0"/>
    <w:link w:val="a6"/>
    <w:uiPriority w:val="99"/>
    <w:semiHidden/>
    <w:rPr>
      <w:rFonts w:asciiTheme="minorHAnsi" w:eastAsiaTheme="minorEastAsia" w:hAnsiTheme="minorHAnsi" w:cs="Times New Roman"/>
      <w:sz w:val="20"/>
      <w:szCs w:val="20"/>
      <w:lang w:eastAsia="ru-RU"/>
    </w:rPr>
  </w:style>
  <w:style w:type="paragraph" w:styleId="a8">
    <w:name w:val="annotation subject"/>
    <w:basedOn w:val="a6"/>
    <w:next w:val="a6"/>
    <w:link w:val="a9"/>
    <w:uiPriority w:val="99"/>
    <w:semiHidden/>
    <w:unhideWhenUsed/>
    <w:rPr>
      <w:b/>
      <w:bCs/>
    </w:rPr>
  </w:style>
  <w:style w:type="character" w:customStyle="1" w:styleId="a9">
    <w:name w:val="Тема примечания Знак"/>
    <w:basedOn w:val="a7"/>
    <w:link w:val="a8"/>
    <w:uiPriority w:val="99"/>
    <w:semiHidden/>
    <w:rPr>
      <w:rFonts w:asciiTheme="minorHAnsi" w:eastAsiaTheme="minorEastAsia" w:hAnsiTheme="minorHAnsi" w:cs="Times New Roman"/>
      <w:b/>
      <w:bCs/>
      <w:sz w:val="20"/>
      <w:szCs w:val="20"/>
      <w:lang w:eastAsia="ru-RU"/>
    </w:rPr>
  </w:style>
  <w:style w:type="paragraph" w:styleId="aa">
    <w:name w:val="Balloon Text"/>
    <w:basedOn w:val="a"/>
    <w:link w:val="ab"/>
    <w:uiPriority w:val="99"/>
    <w:semiHidden/>
    <w:unhideWhenUse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Pr>
      <w:rFonts w:ascii="Segoe UI" w:eastAsiaTheme="minorEastAsia" w:hAnsi="Segoe UI" w:cs="Segoe UI"/>
      <w:sz w:val="18"/>
      <w:szCs w:val="18"/>
      <w:lang w:eastAsia="ru-RU"/>
    </w:rPr>
  </w:style>
  <w:style w:type="paragraph" w:styleId="ac">
    <w:name w:val="List Paragraph"/>
    <w:basedOn w:val="a"/>
    <w:uiPriority w:val="1"/>
    <w:qFormat/>
    <w:pPr>
      <w:ind w:left="720"/>
      <w:contextualSpacing/>
    </w:pPr>
  </w:style>
  <w:style w:type="paragraph" w:styleId="ad">
    <w:name w:val="Revision"/>
    <w:hidden/>
    <w:uiPriority w:val="99"/>
    <w:semiHidden/>
    <w:pPr>
      <w:spacing w:after="0" w:line="240" w:lineRule="auto"/>
    </w:pPr>
    <w:rPr>
      <w:rFonts w:asciiTheme="minorHAnsi" w:eastAsiaTheme="minorEastAsia" w:hAnsiTheme="minorHAnsi" w:cs="Times New Roman"/>
      <w:sz w:val="22"/>
      <w:lang w:eastAsia="ru-RU"/>
    </w:rPr>
  </w:style>
  <w:style w:type="paragraph" w:customStyle="1" w:styleId="ConsPlusTitle">
    <w:name w:val="ConsPlusTitle"/>
    <w:basedOn w:val="a"/>
    <w:uiPriority w:val="99"/>
    <w:semiHidden/>
    <w:pPr>
      <w:autoSpaceDE w:val="0"/>
      <w:autoSpaceDN w:val="0"/>
      <w:spacing w:after="0" w:line="240" w:lineRule="auto"/>
    </w:pPr>
    <w:rPr>
      <w:rFonts w:ascii="Times New Roman" w:eastAsiaTheme="minorHAnsi" w:hAnsi="Times New Roman"/>
      <w:b/>
      <w:bCs/>
      <w:sz w:val="24"/>
      <w:szCs w:val="24"/>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rPr>
      <w:rFonts w:asciiTheme="minorHAnsi" w:eastAsiaTheme="minorEastAsia" w:hAnsiTheme="minorHAnsi" w:cs="Times New Roman"/>
      <w:sz w:val="22"/>
      <w:lang w:eastAsia="ru-RU"/>
    </w:rPr>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3144</Words>
  <Characters>17922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Potekhin Mikhail</dc:creator>
  <cp:lastModifiedBy>Ilchenko Irina</cp:lastModifiedBy>
  <cp:revision>2</cp:revision>
  <dcterms:created xsi:type="dcterms:W3CDTF">2021-12-06T04:03:00Z</dcterms:created>
  <dcterms:modified xsi:type="dcterms:W3CDTF">2021-12-06T04:03:00Z</dcterms:modified>
</cp:coreProperties>
</file>