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89E14E" w14:textId="77777777" w:rsidR="00196533" w:rsidRPr="00BB05F1" w:rsidRDefault="00196533" w:rsidP="006B59E5">
      <w:pPr>
        <w:spacing w:after="120"/>
        <w:jc w:val="center"/>
        <w:rPr>
          <w:b/>
          <w:bCs/>
          <w:sz w:val="22"/>
          <w:szCs w:val="22"/>
        </w:rPr>
      </w:pPr>
      <w:r w:rsidRPr="009159C9">
        <w:rPr>
          <w:b/>
          <w:sz w:val="22"/>
          <w:szCs w:val="22"/>
        </w:rPr>
        <w:t xml:space="preserve">Сообщение о существенном </w:t>
      </w:r>
      <w:proofErr w:type="gramStart"/>
      <w:r w:rsidRPr="009159C9">
        <w:rPr>
          <w:b/>
          <w:sz w:val="22"/>
          <w:szCs w:val="22"/>
        </w:rPr>
        <w:t>факте</w:t>
      </w:r>
      <w:proofErr w:type="gramEnd"/>
      <w:r w:rsidRPr="009159C9">
        <w:rPr>
          <w:b/>
          <w:sz w:val="22"/>
          <w:szCs w:val="22"/>
        </w:rPr>
        <w:t xml:space="preserve"> </w:t>
      </w:r>
      <w:r w:rsidRPr="00BB05F1">
        <w:rPr>
          <w:b/>
          <w:sz w:val="22"/>
          <w:szCs w:val="22"/>
        </w:rPr>
        <w:t>о совершении</w:t>
      </w:r>
      <w:r>
        <w:rPr>
          <w:b/>
          <w:sz w:val="22"/>
          <w:szCs w:val="22"/>
        </w:rPr>
        <w:t xml:space="preserve"> </w:t>
      </w:r>
      <w:r w:rsidRPr="00BB05F1">
        <w:rPr>
          <w:b/>
          <w:sz w:val="22"/>
          <w:szCs w:val="22"/>
        </w:rPr>
        <w:t>организ</w:t>
      </w:r>
      <w:r>
        <w:rPr>
          <w:b/>
          <w:sz w:val="22"/>
          <w:szCs w:val="22"/>
        </w:rPr>
        <w:t>ацией, контролирующей эмитента</w:t>
      </w:r>
      <w:r w:rsidRPr="00BB05F1">
        <w:rPr>
          <w:b/>
          <w:sz w:val="22"/>
          <w:szCs w:val="22"/>
        </w:rPr>
        <w:t>, крупной сделки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4976"/>
      </w:tblGrid>
      <w:tr w:rsidR="00196533" w:rsidRPr="009159C9" w14:paraId="5998C6D8" w14:textId="77777777" w:rsidTr="009B480F">
        <w:trPr>
          <w:cantSplit/>
        </w:trPr>
        <w:tc>
          <w:tcPr>
            <w:tcW w:w="9951" w:type="dxa"/>
            <w:gridSpan w:val="2"/>
          </w:tcPr>
          <w:p w14:paraId="769552DC" w14:textId="77777777" w:rsidR="00196533" w:rsidRPr="009159C9" w:rsidRDefault="00196533" w:rsidP="009B480F">
            <w:pPr>
              <w:jc w:val="center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 Общие сведения</w:t>
            </w:r>
          </w:p>
        </w:tc>
      </w:tr>
      <w:tr w:rsidR="00196533" w:rsidRPr="009159C9" w14:paraId="1A8696C9" w14:textId="77777777" w:rsidTr="009B480F">
        <w:tc>
          <w:tcPr>
            <w:tcW w:w="4975" w:type="dxa"/>
          </w:tcPr>
          <w:p w14:paraId="55112F4C" w14:textId="77777777" w:rsidR="00196533" w:rsidRPr="009159C9" w:rsidRDefault="00196533" w:rsidP="009B480F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1.1. Полное фирменное наименование эмитента</w:t>
            </w:r>
          </w:p>
        </w:tc>
        <w:tc>
          <w:tcPr>
            <w:tcW w:w="4976" w:type="dxa"/>
          </w:tcPr>
          <w:p w14:paraId="0F5066DB" w14:textId="77777777" w:rsidR="00196533" w:rsidRPr="009159C9" w:rsidRDefault="00196533" w:rsidP="00675C24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196533">
              <w:rPr>
                <w:b/>
                <w:bCs/>
                <w:i/>
                <w:iCs/>
                <w:sz w:val="22"/>
                <w:szCs w:val="22"/>
              </w:rPr>
              <w:t>Публичное акционерное общество «РУСАЛ Братский алюминиевый завод»</w:t>
            </w:r>
          </w:p>
        </w:tc>
      </w:tr>
      <w:tr w:rsidR="00196533" w:rsidRPr="009159C9" w14:paraId="3EFFCCEA" w14:textId="77777777" w:rsidTr="009B480F">
        <w:tc>
          <w:tcPr>
            <w:tcW w:w="4975" w:type="dxa"/>
          </w:tcPr>
          <w:p w14:paraId="38534B7A" w14:textId="77777777" w:rsidR="00196533" w:rsidRPr="009159C9" w:rsidRDefault="00196533" w:rsidP="009B480F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1.2. Сокращенное фирменное наименование эмитента</w:t>
            </w:r>
          </w:p>
        </w:tc>
        <w:tc>
          <w:tcPr>
            <w:tcW w:w="4976" w:type="dxa"/>
          </w:tcPr>
          <w:p w14:paraId="6E835279" w14:textId="77777777" w:rsidR="00196533" w:rsidRPr="009159C9" w:rsidRDefault="00196533" w:rsidP="00675C24">
            <w:pPr>
              <w:keepNext/>
              <w:spacing w:before="60" w:after="60"/>
              <w:ind w:left="57"/>
              <w:outlineLvl w:val="1"/>
              <w:rPr>
                <w:b/>
                <w:bCs/>
                <w:i/>
                <w:iCs/>
                <w:sz w:val="22"/>
                <w:szCs w:val="22"/>
              </w:rPr>
            </w:pPr>
            <w:r w:rsidRPr="00196533">
              <w:rPr>
                <w:b/>
                <w:bCs/>
                <w:i/>
                <w:iCs/>
                <w:sz w:val="22"/>
                <w:szCs w:val="22"/>
              </w:rPr>
              <w:t>ПАО «РУСАЛ Братск»</w:t>
            </w:r>
          </w:p>
        </w:tc>
      </w:tr>
      <w:tr w:rsidR="00196533" w:rsidRPr="009159C9" w14:paraId="10B60FC8" w14:textId="77777777" w:rsidTr="009B480F">
        <w:tc>
          <w:tcPr>
            <w:tcW w:w="4975" w:type="dxa"/>
          </w:tcPr>
          <w:p w14:paraId="766508A4" w14:textId="77777777" w:rsidR="00196533" w:rsidRPr="009159C9" w:rsidRDefault="00196533" w:rsidP="009B480F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976" w:type="dxa"/>
          </w:tcPr>
          <w:p w14:paraId="1D098167" w14:textId="77777777" w:rsidR="00196533" w:rsidRPr="009159C9" w:rsidRDefault="00196533" w:rsidP="00675C24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196533">
              <w:rPr>
                <w:b/>
                <w:bCs/>
                <w:i/>
                <w:iCs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196533" w:rsidRPr="009159C9" w14:paraId="3A978E0F" w14:textId="77777777" w:rsidTr="009B480F">
        <w:tc>
          <w:tcPr>
            <w:tcW w:w="4975" w:type="dxa"/>
          </w:tcPr>
          <w:p w14:paraId="33882A72" w14:textId="77777777" w:rsidR="00196533" w:rsidRPr="009159C9" w:rsidRDefault="00196533" w:rsidP="009B480F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4976" w:type="dxa"/>
          </w:tcPr>
          <w:p w14:paraId="09D13980" w14:textId="77777777" w:rsidR="00196533" w:rsidRPr="009159C9" w:rsidRDefault="00196533" w:rsidP="00675C24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19653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196533" w:rsidRPr="009159C9" w14:paraId="08AB365C" w14:textId="77777777" w:rsidTr="009B480F">
        <w:tc>
          <w:tcPr>
            <w:tcW w:w="4975" w:type="dxa"/>
          </w:tcPr>
          <w:p w14:paraId="6331B5E1" w14:textId="77777777" w:rsidR="00196533" w:rsidRPr="009159C9" w:rsidRDefault="00196533" w:rsidP="009B480F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4976" w:type="dxa"/>
          </w:tcPr>
          <w:p w14:paraId="051B702E" w14:textId="77777777" w:rsidR="00196533" w:rsidRPr="009159C9" w:rsidRDefault="00196533" w:rsidP="00675C24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19653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196533" w:rsidRPr="009159C9" w14:paraId="00889449" w14:textId="77777777" w:rsidTr="009B480F">
        <w:tc>
          <w:tcPr>
            <w:tcW w:w="4975" w:type="dxa"/>
          </w:tcPr>
          <w:p w14:paraId="2B5109E4" w14:textId="77777777" w:rsidR="00196533" w:rsidRPr="009159C9" w:rsidRDefault="00196533" w:rsidP="009B480F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1.6.</w:t>
            </w:r>
            <w:r w:rsidRPr="009159C9">
              <w:rPr>
                <w:sz w:val="22"/>
                <w:szCs w:val="22"/>
                <w:lang w:val="en-US"/>
              </w:rPr>
              <w:t> </w:t>
            </w:r>
            <w:r w:rsidRPr="009159C9">
              <w:rPr>
                <w:sz w:val="22"/>
                <w:szCs w:val="22"/>
              </w:rPr>
              <w:t>Уникальный код эмитента, присвоенный регистрирующим органом</w:t>
            </w:r>
          </w:p>
        </w:tc>
        <w:tc>
          <w:tcPr>
            <w:tcW w:w="4976" w:type="dxa"/>
          </w:tcPr>
          <w:p w14:paraId="5EF53895" w14:textId="77777777" w:rsidR="00196533" w:rsidRPr="009159C9" w:rsidRDefault="00196533" w:rsidP="00675C24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19653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196533" w:rsidRPr="009159C9" w14:paraId="02D97BAE" w14:textId="77777777" w:rsidTr="009B480F">
        <w:tc>
          <w:tcPr>
            <w:tcW w:w="4975" w:type="dxa"/>
          </w:tcPr>
          <w:p w14:paraId="12AD5411" w14:textId="77777777" w:rsidR="00196533" w:rsidRPr="009159C9" w:rsidRDefault="00196533" w:rsidP="009B480F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1.7.</w:t>
            </w:r>
            <w:r w:rsidRPr="009159C9">
              <w:rPr>
                <w:sz w:val="22"/>
                <w:szCs w:val="22"/>
                <w:lang w:val="en-US"/>
              </w:rPr>
              <w:t> </w:t>
            </w:r>
            <w:r w:rsidRPr="009159C9">
              <w:rPr>
                <w:sz w:val="22"/>
                <w:szCs w:val="22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976" w:type="dxa"/>
          </w:tcPr>
          <w:p w14:paraId="1E7ED5B6" w14:textId="77777777" w:rsidR="00196533" w:rsidRPr="00196533" w:rsidRDefault="009A161F" w:rsidP="00675C24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hyperlink r:id="rId6" w:history="1">
              <w:r w:rsidR="00196533" w:rsidRPr="00196533">
                <w:rPr>
                  <w:b/>
                  <w:i/>
                  <w:color w:val="0000FF"/>
                  <w:sz w:val="22"/>
                  <w:szCs w:val="22"/>
                  <w:u w:val="single"/>
                </w:rPr>
                <w:t>http://braz-rusal.ru/</w:t>
              </w:r>
            </w:hyperlink>
            <w:r w:rsidR="00196533" w:rsidRPr="00196533">
              <w:rPr>
                <w:b/>
                <w:i/>
                <w:sz w:val="22"/>
                <w:szCs w:val="22"/>
              </w:rPr>
              <w:t xml:space="preserve">, </w:t>
            </w:r>
            <w:hyperlink r:id="rId7" w:history="1">
              <w:r w:rsidR="00196533" w:rsidRPr="00196533">
                <w:rPr>
                  <w:b/>
                  <w:i/>
                  <w:color w:val="0000FF"/>
                  <w:sz w:val="22"/>
                  <w:szCs w:val="22"/>
                  <w:u w:val="single"/>
                </w:rPr>
                <w:t>http://www.e-disclosure.ru/portal/company.aspx?id=838</w:t>
              </w:r>
            </w:hyperlink>
          </w:p>
        </w:tc>
      </w:tr>
      <w:tr w:rsidR="00675C24" w:rsidRPr="009159C9" w14:paraId="3811C270" w14:textId="77777777" w:rsidTr="009B480F">
        <w:tc>
          <w:tcPr>
            <w:tcW w:w="4975" w:type="dxa"/>
          </w:tcPr>
          <w:p w14:paraId="6C6A61CA" w14:textId="77777777" w:rsidR="00675C24" w:rsidRPr="009159C9" w:rsidRDefault="00675C24" w:rsidP="009B480F">
            <w:pPr>
              <w:ind w:left="57" w:right="57"/>
              <w:rPr>
                <w:sz w:val="22"/>
                <w:szCs w:val="22"/>
              </w:rPr>
            </w:pPr>
            <w:r w:rsidRPr="006233D0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976" w:type="dxa"/>
          </w:tcPr>
          <w:p w14:paraId="483684F3" w14:textId="77777777" w:rsidR="00675C24" w:rsidRDefault="00675C24" w:rsidP="009B480F">
            <w:pPr>
              <w:rPr>
                <w:b/>
                <w:i/>
                <w:sz w:val="22"/>
                <w:szCs w:val="22"/>
              </w:rPr>
            </w:pPr>
          </w:p>
          <w:p w14:paraId="6E972921" w14:textId="43F3D445" w:rsidR="00675C24" w:rsidRPr="00675C24" w:rsidRDefault="004B7F7C" w:rsidP="0032025B">
            <w:pPr>
              <w:ind w:left="57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05 августа</w:t>
            </w:r>
            <w:r w:rsidR="000E3918">
              <w:rPr>
                <w:b/>
                <w:i/>
                <w:sz w:val="22"/>
                <w:szCs w:val="22"/>
              </w:rPr>
              <w:t xml:space="preserve"> 20</w:t>
            </w:r>
            <w:r w:rsidR="0032025B">
              <w:rPr>
                <w:b/>
                <w:i/>
                <w:sz w:val="22"/>
                <w:szCs w:val="22"/>
              </w:rPr>
              <w:t>21</w:t>
            </w:r>
            <w:r w:rsidR="00675C24" w:rsidRPr="00675C24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14:paraId="1C5D0873" w14:textId="77777777" w:rsidR="00196533" w:rsidRPr="009159C9" w:rsidRDefault="00196533" w:rsidP="00196533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196533" w:rsidRPr="009159C9" w14:paraId="5301C32C" w14:textId="77777777" w:rsidTr="009B480F">
        <w:tc>
          <w:tcPr>
            <w:tcW w:w="9889" w:type="dxa"/>
            <w:shd w:val="clear" w:color="auto" w:fill="auto"/>
          </w:tcPr>
          <w:p w14:paraId="3819DB60" w14:textId="77777777" w:rsidR="00196533" w:rsidRPr="009159C9" w:rsidRDefault="00196533" w:rsidP="009B480F">
            <w:pPr>
              <w:jc w:val="center"/>
              <w:rPr>
                <w:b/>
                <w:sz w:val="22"/>
                <w:szCs w:val="22"/>
              </w:rPr>
            </w:pPr>
            <w:r w:rsidRPr="009159C9">
              <w:rPr>
                <w:b/>
                <w:sz w:val="22"/>
                <w:szCs w:val="22"/>
              </w:rPr>
              <w:t>2. Содержание сообщения</w:t>
            </w:r>
          </w:p>
        </w:tc>
      </w:tr>
      <w:tr w:rsidR="00196533" w:rsidRPr="009159C9" w14:paraId="7458E3D1" w14:textId="77777777" w:rsidTr="009B480F">
        <w:tc>
          <w:tcPr>
            <w:tcW w:w="9889" w:type="dxa"/>
            <w:shd w:val="clear" w:color="auto" w:fill="auto"/>
          </w:tcPr>
          <w:p w14:paraId="05A94BE6" w14:textId="77777777" w:rsidR="00196533" w:rsidRPr="00C57DDA" w:rsidRDefault="00196533" w:rsidP="009B480F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 В</w:t>
            </w:r>
            <w:r w:rsidRPr="00BB05F1">
              <w:rPr>
                <w:rFonts w:ascii="Times New Roman" w:hAnsi="Times New Roman" w:cs="Times New Roman"/>
                <w:sz w:val="22"/>
                <w:szCs w:val="22"/>
              </w:rPr>
              <w:t>ид организации, которая совершила крупную сделку</w:t>
            </w:r>
            <w:r w:rsidRPr="00C57DDA">
              <w:rPr>
                <w:rFonts w:ascii="Times New Roman" w:hAnsi="Times New Roman" w:cs="Times New Roman"/>
                <w:i/>
                <w:sz w:val="22"/>
                <w:szCs w:val="22"/>
              </w:rPr>
              <w:t>:</w:t>
            </w:r>
            <w:r w:rsidR="00C57DDA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C57DD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организация, контролирующая эмитента</w:t>
            </w:r>
            <w:r w:rsidR="00C57DD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.</w:t>
            </w:r>
          </w:p>
          <w:p w14:paraId="4AD17306" w14:textId="77777777" w:rsidR="00196533" w:rsidRPr="00196533" w:rsidRDefault="00196533" w:rsidP="009B480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BB05F1">
              <w:rPr>
                <w:rFonts w:ascii="Times New Roman" w:hAnsi="Times New Roman" w:cs="Times New Roman"/>
                <w:sz w:val="22"/>
                <w:szCs w:val="22"/>
              </w:rPr>
              <w:t>олное фирменное наименование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19653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57DD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Акционерное общество «РУССКИЙ АЛЮМИНИЙ»</w:t>
            </w:r>
            <w:r w:rsidR="00C57DD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.</w:t>
            </w:r>
          </w:p>
          <w:p w14:paraId="6036770F" w14:textId="77777777" w:rsidR="00196533" w:rsidRDefault="00196533" w:rsidP="0088785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Место нахождения: </w:t>
            </w:r>
            <w:r w:rsidR="00C57DDA" w:rsidRPr="00C57DD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Российская Федерация, 121096, г. Москва, ул. Василисы Кожиной, д. 1, этаж 2, помещение 24.</w:t>
            </w:r>
          </w:p>
          <w:p w14:paraId="24825809" w14:textId="77777777" w:rsidR="00196533" w:rsidRDefault="00196533" w:rsidP="009B480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B05F1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BB05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57DDA" w:rsidRPr="00C57DD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7709329253</w:t>
            </w:r>
          </w:p>
          <w:p w14:paraId="37782617" w14:textId="77777777" w:rsidR="00196533" w:rsidRPr="00BB05F1" w:rsidRDefault="00196533" w:rsidP="00C839EA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B05F1">
              <w:rPr>
                <w:rFonts w:ascii="Times New Roman" w:hAnsi="Times New Roman" w:cs="Times New Roman"/>
                <w:sz w:val="22"/>
                <w:szCs w:val="22"/>
              </w:rPr>
              <w:t>ОГРН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C57DDA" w:rsidRPr="00C57DD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1027700467332</w:t>
            </w:r>
            <w:r w:rsidR="00C57DD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</w:p>
          <w:p w14:paraId="175A0B83" w14:textId="77777777" w:rsidR="003319E7" w:rsidRPr="006862B9" w:rsidRDefault="00196533" w:rsidP="00C839EA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2.2. К</w:t>
            </w:r>
            <w:r w:rsidRPr="00BB05F1">
              <w:rPr>
                <w:rFonts w:ascii="Times New Roman" w:hAnsi="Times New Roman" w:cs="Times New Roman"/>
                <w:sz w:val="22"/>
                <w:szCs w:val="22"/>
              </w:rPr>
              <w:t>атегория сделки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6862B9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крупная сделка</w:t>
            </w:r>
          </w:p>
          <w:p w14:paraId="74785B2E" w14:textId="1CF5BF15" w:rsidR="00196533" w:rsidRPr="0011233B" w:rsidRDefault="00196533" w:rsidP="00C839EA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862B9">
              <w:rPr>
                <w:rFonts w:ascii="Times New Roman" w:hAnsi="Times New Roman" w:cs="Times New Roman"/>
                <w:sz w:val="22"/>
                <w:szCs w:val="22"/>
              </w:rPr>
              <w:t xml:space="preserve">2.3. Вид и предмет сделки: </w:t>
            </w:r>
            <w:r w:rsidR="0011233B" w:rsidRPr="0011233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Совершение крупной сделки (взаимосвязанных сделок (Дополнительное соглашение № 2 к Договору займа № UCR–RA/12–2020 от 31 декабря 2020 г. между АО «РУСАЛ» (Заемщик) и МКПАО «</w:t>
            </w:r>
            <w:proofErr w:type="gramStart"/>
            <w:r w:rsidR="0011233B" w:rsidRPr="0011233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ОК</w:t>
            </w:r>
            <w:proofErr w:type="gramEnd"/>
            <w:r w:rsidR="0011233B" w:rsidRPr="0011233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РУСАЛ» (Займодавец) и Договор займа № UCR–RA/06–2021 между АО «РУСАЛ» (Заемщик) и МКПАО «ОК РУСАЛ» (Займодавец)), совокупный размер которых составляет более 50 % балансовой стоимости активов п</w:t>
            </w:r>
            <w:r w:rsidR="0011233B" w:rsidRPr="0011233B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</w:rPr>
              <w:t>одконтрольной</w:t>
            </w:r>
            <w:r w:rsidR="0011233B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</w:rPr>
              <w:t xml:space="preserve"> </w:t>
            </w:r>
            <w:r w:rsidR="0011233B" w:rsidRPr="0011233B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</w:rPr>
              <w:t>Эмитенту организации, имеющей для него существенное значение</w:t>
            </w:r>
            <w:r w:rsidR="0011233B" w:rsidRPr="0011233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, определенный по данным бухгалтерской (финансовой) отчетности указанной организации на дату окончания последнего завершенного отчетного периода, предшествующего совершению сделок).</w:t>
            </w:r>
          </w:p>
          <w:p w14:paraId="484EF590" w14:textId="77777777" w:rsidR="00196533" w:rsidRDefault="00196533" w:rsidP="009B480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2.4. С</w:t>
            </w:r>
            <w:r w:rsidRPr="00BB05F1">
              <w:rPr>
                <w:rFonts w:ascii="Times New Roman" w:hAnsi="Times New Roman" w:cs="Times New Roman"/>
                <w:sz w:val="22"/>
                <w:szCs w:val="22"/>
              </w:rPr>
              <w:t>одержание сделки, в том числе гражданские права и обязанности, на установление, изменение или прекращение которых направлена совершенная сделк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а: </w:t>
            </w:r>
          </w:p>
          <w:p w14:paraId="182F66EA" w14:textId="456D4544" w:rsidR="001760D0" w:rsidRPr="000B5780" w:rsidRDefault="001760D0" w:rsidP="001760D0">
            <w:pPr>
              <w:tabs>
                <w:tab w:val="left" w:pos="360"/>
                <w:tab w:val="left" w:pos="720"/>
                <w:tab w:val="left" w:pos="1800"/>
              </w:tabs>
              <w:rPr>
                <w:sz w:val="22"/>
                <w:szCs w:val="22"/>
              </w:rPr>
            </w:pPr>
            <w:r w:rsidRPr="000133E2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 xml:space="preserve"> </w:t>
            </w:r>
            <w:r w:rsidRPr="000133E2">
              <w:rPr>
                <w:sz w:val="22"/>
                <w:szCs w:val="22"/>
              </w:rPr>
              <w:t xml:space="preserve">Дополнительное соглашение </w:t>
            </w:r>
            <w:r w:rsidR="00530AAB">
              <w:rPr>
                <w:sz w:val="22"/>
                <w:szCs w:val="22"/>
              </w:rPr>
              <w:t xml:space="preserve">№ 2 к Договору займа </w:t>
            </w:r>
            <w:r w:rsidRPr="000B5780">
              <w:rPr>
                <w:sz w:val="22"/>
                <w:szCs w:val="22"/>
              </w:rPr>
              <w:t>№ UCR–</w:t>
            </w:r>
            <w:r w:rsidRPr="000B5780">
              <w:rPr>
                <w:sz w:val="22"/>
                <w:szCs w:val="22"/>
                <w:lang w:val="en-US"/>
              </w:rPr>
              <w:t>RA</w:t>
            </w:r>
            <w:r w:rsidRPr="000B5780">
              <w:rPr>
                <w:sz w:val="22"/>
                <w:szCs w:val="22"/>
              </w:rPr>
              <w:t>/12–2020 от 31 декабря 2020 г. между АО «РУСАЛ» (Заемщик) и МКПАО «</w:t>
            </w:r>
            <w:proofErr w:type="gramStart"/>
            <w:r w:rsidRPr="000B5780">
              <w:rPr>
                <w:sz w:val="22"/>
                <w:szCs w:val="22"/>
              </w:rPr>
              <w:t>ОК</w:t>
            </w:r>
            <w:proofErr w:type="gramEnd"/>
            <w:r w:rsidRPr="000B5780">
              <w:rPr>
                <w:sz w:val="22"/>
                <w:szCs w:val="22"/>
              </w:rPr>
              <w:t xml:space="preserve"> РУСАЛ» (Займодавец) на следующих основных условиях:</w:t>
            </w:r>
          </w:p>
          <w:p w14:paraId="6D8BCB10" w14:textId="5B01D118" w:rsidR="001760D0" w:rsidRDefault="001760D0" w:rsidP="001760D0">
            <w:pPr>
              <w:pStyle w:val="ConsNormal"/>
              <w:widowControl/>
              <w:tabs>
                <w:tab w:val="left" w:pos="851"/>
              </w:tabs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60D0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="0011233B">
              <w:rPr>
                <w:rFonts w:ascii="Times New Roman" w:hAnsi="Times New Roman"/>
                <w:sz w:val="22"/>
                <w:szCs w:val="22"/>
              </w:rPr>
              <w:t xml:space="preserve">1. </w:t>
            </w:r>
            <w:r w:rsidRPr="000B5780">
              <w:rPr>
                <w:rFonts w:ascii="Times New Roman" w:hAnsi="Times New Roman"/>
                <w:sz w:val="22"/>
                <w:szCs w:val="22"/>
              </w:rPr>
              <w:t xml:space="preserve">Пункт 1.1. Договора изложить в следующей редакции: </w:t>
            </w:r>
            <w:proofErr w:type="gramStart"/>
            <w:r w:rsidRPr="000B5780">
              <w:rPr>
                <w:rFonts w:ascii="Times New Roman" w:hAnsi="Times New Roman"/>
                <w:sz w:val="22"/>
                <w:szCs w:val="22"/>
              </w:rPr>
              <w:t>«По настоящему Договору Займодавец передает в собственность Заемщику в порядке и на условиях, оговоренных настоящим Договором, денежные средства в размере до 106 427 281 160,00 (Сто шесть миллиардов четыреста двадцать семь миллионов двести восемьдесят одна тысяча сто шестьдесят 00 коп.) рублей (далее – «Сумма займа»), а Заемщик обязуется вернуть фактически предоставленную сумму средств («Сумма предоставленного займа»)</w:t>
            </w:r>
            <w:r w:rsidRPr="000133E2">
              <w:rPr>
                <w:rFonts w:ascii="Times New Roman" w:hAnsi="Times New Roman"/>
                <w:sz w:val="22"/>
                <w:szCs w:val="22"/>
              </w:rPr>
              <w:t xml:space="preserve"> по требованию Займодавца в обусловленный</w:t>
            </w:r>
            <w:proofErr w:type="gramEnd"/>
            <w:r w:rsidRPr="000133E2">
              <w:rPr>
                <w:rFonts w:ascii="Times New Roman" w:hAnsi="Times New Roman"/>
                <w:sz w:val="22"/>
                <w:szCs w:val="22"/>
              </w:rPr>
              <w:t xml:space="preserve"> настоящим Договором срок и уплатить на нее указанные в Договоре проценты».</w:t>
            </w:r>
          </w:p>
          <w:p w14:paraId="26FA1D86" w14:textId="77777777" w:rsidR="001760D0" w:rsidRDefault="001760D0" w:rsidP="001760D0">
            <w:pPr>
              <w:pStyle w:val="ConsNormal"/>
              <w:widowControl/>
              <w:tabs>
                <w:tab w:val="left" w:pos="851"/>
              </w:tabs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1.2.Иные основные условия Договора:</w:t>
            </w:r>
          </w:p>
          <w:p w14:paraId="644B6921" w14:textId="77777777" w:rsidR="001760D0" w:rsidRDefault="001760D0" w:rsidP="001760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1.2.1.</w:t>
            </w:r>
            <w:r w:rsidRPr="009E550A">
              <w:rPr>
                <w:sz w:val="22"/>
                <w:szCs w:val="22"/>
              </w:rPr>
              <w:t xml:space="preserve">Займодавец перечисляет Сумму займа в полном объеме или частями по требованию Заемщика на указанный Заемщиком банковский счет. Датой предоставления Суммы займа или ее части считается дата зачисления денежных средств на банковский счет Заемщика. </w:t>
            </w:r>
          </w:p>
          <w:p w14:paraId="3C0D13D2" w14:textId="4C4FECFC" w:rsidR="001760D0" w:rsidRPr="009E550A" w:rsidRDefault="001760D0" w:rsidP="001760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1.2.2.</w:t>
            </w:r>
            <w:r w:rsidRPr="009E550A">
              <w:rPr>
                <w:sz w:val="22"/>
                <w:szCs w:val="22"/>
              </w:rPr>
              <w:t xml:space="preserve">Сумма займа может быть использована частями при условии, что остаток задолженности в течение всего срока действия Договора не будет превышать Суммы займа. В том числе, в случае досрочного частичного или досрочного полного погашения займа согласно п. </w:t>
            </w:r>
            <w:r>
              <w:rPr>
                <w:sz w:val="22"/>
                <w:szCs w:val="22"/>
              </w:rPr>
              <w:t>1.</w:t>
            </w:r>
            <w:r w:rsidRPr="009E550A">
              <w:rPr>
                <w:sz w:val="22"/>
                <w:szCs w:val="22"/>
              </w:rPr>
              <w:t xml:space="preserve">2.3. Заемщик в любой </w:t>
            </w:r>
            <w:r w:rsidRPr="009E550A">
              <w:rPr>
                <w:sz w:val="22"/>
                <w:szCs w:val="22"/>
              </w:rPr>
              <w:lastRenderedPageBreak/>
              <w:t>момент может требовать предоставления новой суммы займа в размере, не превышающей Суммы займа и на срок, заканчивающийся не позднее Даты погашения займа, как она определена ниже.</w:t>
            </w:r>
          </w:p>
          <w:p w14:paraId="5CBE2A4A" w14:textId="0461EFA5" w:rsidR="001760D0" w:rsidRPr="002E3C25" w:rsidRDefault="001760D0" w:rsidP="001760D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9E550A">
              <w:rPr>
                <w:sz w:val="22"/>
                <w:szCs w:val="22"/>
              </w:rPr>
              <w:t xml:space="preserve">2.3. Заемщик обязан возвратить Сумму предоставленного займа Займодавцу </w:t>
            </w:r>
            <w:r w:rsidRPr="002E3C25">
              <w:rPr>
                <w:sz w:val="22"/>
                <w:szCs w:val="22"/>
              </w:rPr>
              <w:t xml:space="preserve">не позднее </w:t>
            </w:r>
            <w:r w:rsidRPr="002E3C25">
              <w:rPr>
                <w:b/>
                <w:sz w:val="22"/>
                <w:szCs w:val="22"/>
              </w:rPr>
              <w:t>25 декабря 2027 года</w:t>
            </w:r>
            <w:r w:rsidR="0081300E">
              <w:rPr>
                <w:b/>
                <w:sz w:val="22"/>
                <w:szCs w:val="22"/>
              </w:rPr>
              <w:t xml:space="preserve"> </w:t>
            </w:r>
            <w:r w:rsidR="0081300E" w:rsidRPr="00D442AA">
              <w:rPr>
                <w:sz w:val="22"/>
                <w:szCs w:val="22"/>
              </w:rPr>
              <w:t>(«Дата погашения займа»)</w:t>
            </w:r>
            <w:r w:rsidRPr="002E3C25">
              <w:rPr>
                <w:sz w:val="22"/>
                <w:szCs w:val="22"/>
              </w:rPr>
              <w:t>, путем зачисления Суммы предоставленного займа на банковский счет последнего, указанный в Договоре.</w:t>
            </w:r>
          </w:p>
          <w:p w14:paraId="06695245" w14:textId="77777777" w:rsidR="001760D0" w:rsidRPr="002E3C25" w:rsidRDefault="001760D0" w:rsidP="00641884">
            <w:pPr>
              <w:jc w:val="both"/>
              <w:rPr>
                <w:sz w:val="22"/>
                <w:szCs w:val="22"/>
              </w:rPr>
            </w:pPr>
            <w:r w:rsidRPr="002E3C25">
              <w:rPr>
                <w:sz w:val="22"/>
                <w:szCs w:val="22"/>
              </w:rPr>
              <w:t>Заемщик вправе осуществлять погашение, в том числе и досрочно, любыми суммами в пределах указанного срока без предварительного согласия и уведомления Заимодавца. Датой погашения считается дата зачисления соответствующих денежных средств на банковский счет Займодавца.</w:t>
            </w:r>
          </w:p>
          <w:p w14:paraId="1185DE70" w14:textId="77777777" w:rsidR="001760D0" w:rsidRPr="002E3C25" w:rsidRDefault="001760D0" w:rsidP="00641884">
            <w:pPr>
              <w:jc w:val="both"/>
              <w:rPr>
                <w:sz w:val="22"/>
                <w:szCs w:val="22"/>
              </w:rPr>
            </w:pPr>
            <w:r w:rsidRPr="005A63D6">
              <w:rPr>
                <w:sz w:val="22"/>
                <w:szCs w:val="22"/>
              </w:rPr>
              <w:t>Возврат Суммы займа и процентов производится либо в долларах США, либо в Евро, либо в рублях Российской Федерации. Для целей конвертации одной валюты в другую Стороны согласились использовать курс, установленный Центральным банком Российской Федерации для обмена валют на дату списания денежных средств со счета плательщика.</w:t>
            </w:r>
          </w:p>
          <w:p w14:paraId="57B31919" w14:textId="32BCD0FD" w:rsidR="001760D0" w:rsidRPr="00C73A94" w:rsidRDefault="001760D0" w:rsidP="001760D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2E3C25">
              <w:rPr>
                <w:sz w:val="22"/>
                <w:szCs w:val="22"/>
              </w:rPr>
              <w:t xml:space="preserve">2.4. </w:t>
            </w:r>
            <w:r w:rsidRPr="00C73A94">
              <w:rPr>
                <w:sz w:val="22"/>
                <w:szCs w:val="22"/>
              </w:rPr>
              <w:t>На Сумму предоставленного займа со дня, следующего за датой первого предоставления Суммы займа или его части</w:t>
            </w:r>
            <w:r w:rsidR="00CE268E">
              <w:rPr>
                <w:sz w:val="22"/>
                <w:szCs w:val="22"/>
              </w:rPr>
              <w:t xml:space="preserve"> согласно п. 1.2.</w:t>
            </w:r>
            <w:r w:rsidR="00CE268E" w:rsidRPr="00CE268E">
              <w:rPr>
                <w:sz w:val="22"/>
                <w:szCs w:val="22"/>
              </w:rPr>
              <w:t>1</w:t>
            </w:r>
            <w:r w:rsidRPr="00C73A94">
              <w:rPr>
                <w:sz w:val="22"/>
                <w:szCs w:val="22"/>
              </w:rPr>
              <w:t xml:space="preserve">, до Даты погашения займа ежемесячно начисляются проценты по ставке определяемой, как Ключевая ставка Банка России + 2,025%, опубликованной на официальном сайте Центрального банка Российской Федерации. </w:t>
            </w:r>
          </w:p>
          <w:p w14:paraId="0CD6A695" w14:textId="77777777" w:rsidR="001760D0" w:rsidRPr="00C73A94" w:rsidRDefault="001760D0" w:rsidP="00641884">
            <w:pPr>
              <w:widowControl w:val="0"/>
              <w:jc w:val="both"/>
              <w:rPr>
                <w:sz w:val="22"/>
                <w:szCs w:val="22"/>
              </w:rPr>
            </w:pPr>
            <w:r w:rsidRPr="00C73A94">
              <w:rPr>
                <w:sz w:val="22"/>
                <w:szCs w:val="22"/>
              </w:rPr>
              <w:t>При изменении размера ключевой ставки Банка России в течение срока действия Договора новая ключевая ставка применяется со второго рабочего дня, следующего за датой вступления в силу нового размера ключевой ставки Банка России.</w:t>
            </w:r>
          </w:p>
          <w:p w14:paraId="21C15515" w14:textId="392A1B7A" w:rsidR="001760D0" w:rsidRPr="00C73A94" w:rsidRDefault="001760D0" w:rsidP="00641884">
            <w:pPr>
              <w:keepNext/>
              <w:jc w:val="both"/>
              <w:rPr>
                <w:sz w:val="22"/>
                <w:szCs w:val="22"/>
              </w:rPr>
            </w:pPr>
            <w:r w:rsidRPr="00C73A94">
              <w:rPr>
                <w:sz w:val="22"/>
                <w:szCs w:val="22"/>
              </w:rPr>
              <w:t xml:space="preserve">Заемщик </w:t>
            </w:r>
            <w:r w:rsidRPr="00C73A94">
              <w:rPr>
                <w:rFonts w:hint="eastAsia"/>
                <w:sz w:val="22"/>
                <w:szCs w:val="22"/>
              </w:rPr>
              <w:t>выплачивает</w:t>
            </w:r>
            <w:r w:rsidRPr="00C73A94">
              <w:rPr>
                <w:sz w:val="22"/>
                <w:szCs w:val="22"/>
              </w:rPr>
              <w:t xml:space="preserve"> проценты, </w:t>
            </w:r>
            <w:r w:rsidRPr="00C73A94">
              <w:rPr>
                <w:rFonts w:hint="eastAsia"/>
                <w:sz w:val="22"/>
                <w:szCs w:val="22"/>
              </w:rPr>
              <w:t>начисленные</w:t>
            </w:r>
            <w:r w:rsidRPr="00C73A94">
              <w:rPr>
                <w:sz w:val="22"/>
                <w:szCs w:val="22"/>
              </w:rPr>
              <w:t xml:space="preserve"> на Сумму предоставленного займа, ежеквартально «20» числа третьего месяца каждого календарного квартала и в Дату погашения займа, указанную в п. </w:t>
            </w:r>
            <w:r>
              <w:rPr>
                <w:sz w:val="22"/>
                <w:szCs w:val="22"/>
              </w:rPr>
              <w:t>1.</w:t>
            </w:r>
            <w:r w:rsidRPr="00C73A94">
              <w:rPr>
                <w:sz w:val="22"/>
                <w:szCs w:val="22"/>
              </w:rPr>
              <w:t xml:space="preserve">2.3 или в дату полного погашения займа, осуществленного ранее указанной в п. </w:t>
            </w:r>
            <w:r>
              <w:rPr>
                <w:sz w:val="22"/>
                <w:szCs w:val="22"/>
              </w:rPr>
              <w:t>1.</w:t>
            </w:r>
            <w:r w:rsidRPr="00C73A94">
              <w:rPr>
                <w:sz w:val="22"/>
                <w:szCs w:val="22"/>
              </w:rPr>
              <w:t>2.3</w:t>
            </w:r>
            <w:r>
              <w:rPr>
                <w:sz w:val="22"/>
                <w:szCs w:val="22"/>
              </w:rPr>
              <w:t xml:space="preserve"> </w:t>
            </w:r>
            <w:r w:rsidRPr="00C73A94">
              <w:rPr>
                <w:sz w:val="22"/>
                <w:szCs w:val="22"/>
              </w:rPr>
              <w:t xml:space="preserve"> даты, в сумме начисленных на указанну</w:t>
            </w:r>
            <w:proofErr w:type="gramStart"/>
            <w:r w:rsidRPr="00C73A94">
              <w:rPr>
                <w:sz w:val="22"/>
                <w:szCs w:val="22"/>
              </w:rPr>
              <w:t>ю(</w:t>
            </w:r>
            <w:proofErr w:type="spellStart"/>
            <w:proofErr w:type="gramEnd"/>
            <w:r w:rsidRPr="00C73A94">
              <w:rPr>
                <w:sz w:val="22"/>
                <w:szCs w:val="22"/>
              </w:rPr>
              <w:t>ые</w:t>
            </w:r>
            <w:proofErr w:type="spellEnd"/>
            <w:r w:rsidRPr="00C73A94">
              <w:rPr>
                <w:sz w:val="22"/>
                <w:szCs w:val="22"/>
              </w:rPr>
              <w:t xml:space="preserve">) дату(ы) процентов (включительно). </w:t>
            </w:r>
          </w:p>
          <w:p w14:paraId="10E9CDE4" w14:textId="01446E60" w:rsidR="001760D0" w:rsidRPr="00C73A94" w:rsidRDefault="001760D0" w:rsidP="00641884">
            <w:pPr>
              <w:keepNext/>
              <w:jc w:val="both"/>
              <w:rPr>
                <w:sz w:val="22"/>
                <w:szCs w:val="22"/>
              </w:rPr>
            </w:pPr>
            <w:r w:rsidRPr="00C73A94">
              <w:rPr>
                <w:sz w:val="22"/>
                <w:szCs w:val="22"/>
              </w:rPr>
              <w:t xml:space="preserve">В случае несвоевременного погашения </w:t>
            </w:r>
            <w:r>
              <w:rPr>
                <w:sz w:val="22"/>
                <w:szCs w:val="22"/>
              </w:rPr>
              <w:t>займа</w:t>
            </w:r>
            <w:r w:rsidRPr="00C73A94">
              <w:rPr>
                <w:sz w:val="22"/>
                <w:szCs w:val="22"/>
              </w:rPr>
              <w:t xml:space="preserve"> (просрочки) на сумму непогашенного в срок </w:t>
            </w:r>
            <w:r>
              <w:rPr>
                <w:sz w:val="22"/>
                <w:szCs w:val="22"/>
              </w:rPr>
              <w:t>займа</w:t>
            </w:r>
            <w:r w:rsidRPr="00C73A94">
              <w:rPr>
                <w:sz w:val="22"/>
                <w:szCs w:val="22"/>
              </w:rPr>
              <w:t xml:space="preserve"> проценты не начисляются, начиная с даты, следующей за датой погашения соответствующей суммы кредита, установленной п. </w:t>
            </w:r>
            <w:r>
              <w:rPr>
                <w:sz w:val="22"/>
                <w:szCs w:val="22"/>
              </w:rPr>
              <w:t>1.</w:t>
            </w:r>
            <w:r w:rsidRPr="00C73A94">
              <w:rPr>
                <w:sz w:val="22"/>
                <w:szCs w:val="22"/>
              </w:rPr>
              <w:t>2.3 (включительно).</w:t>
            </w:r>
          </w:p>
          <w:p w14:paraId="748C4D56" w14:textId="77777777" w:rsidR="001760D0" w:rsidRPr="00C73A94" w:rsidRDefault="001760D0" w:rsidP="001760D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C73A94">
              <w:rPr>
                <w:sz w:val="22"/>
                <w:szCs w:val="22"/>
              </w:rPr>
              <w:t>2.5. В случае письменного уведомления Заимодавцем Заёмщика  Сумма предоставленного займа и процентов за пользование займом должна быть возвращена на счет третьего  лица-нерезидента, как указано в уведомлении.</w:t>
            </w:r>
          </w:p>
          <w:p w14:paraId="5316ABBB" w14:textId="0D8C8F9E" w:rsidR="001760D0" w:rsidRPr="009E550A" w:rsidRDefault="001760D0" w:rsidP="001760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C73A94">
              <w:rPr>
                <w:sz w:val="22"/>
                <w:szCs w:val="22"/>
              </w:rPr>
              <w:t xml:space="preserve">2.6. </w:t>
            </w:r>
            <w:r w:rsidRPr="009E550A">
              <w:rPr>
                <w:sz w:val="22"/>
                <w:szCs w:val="22"/>
              </w:rPr>
              <w:t xml:space="preserve">Договор прекращается при погашении займа в соответствии с п. </w:t>
            </w:r>
            <w:r>
              <w:rPr>
                <w:sz w:val="22"/>
                <w:szCs w:val="22"/>
              </w:rPr>
              <w:t>1.</w:t>
            </w:r>
            <w:r w:rsidR="004B7F7C">
              <w:rPr>
                <w:sz w:val="22"/>
                <w:szCs w:val="22"/>
              </w:rPr>
              <w:t>2.3</w:t>
            </w:r>
            <w:r w:rsidRPr="009E550A">
              <w:rPr>
                <w:sz w:val="22"/>
                <w:szCs w:val="22"/>
              </w:rPr>
              <w:t>.</w:t>
            </w:r>
          </w:p>
          <w:p w14:paraId="27C71507" w14:textId="4FA2FC9B" w:rsidR="001760D0" w:rsidRPr="00F9285E" w:rsidRDefault="001760D0" w:rsidP="00641884">
            <w:pPr>
              <w:jc w:val="both"/>
              <w:rPr>
                <w:sz w:val="22"/>
                <w:szCs w:val="22"/>
              </w:rPr>
            </w:pPr>
            <w:r w:rsidRPr="009E550A">
              <w:rPr>
                <w:sz w:val="22"/>
                <w:szCs w:val="22"/>
              </w:rPr>
              <w:t xml:space="preserve">Договор может быть прекращен по соглашению Сторон или по требованию любой из Сторон по истечении 2 (двух) рабочих дней с момента получения другой Стороной требования о прекращении Договора. </w:t>
            </w:r>
          </w:p>
          <w:p w14:paraId="1B7E7D32" w14:textId="77777777" w:rsidR="001760D0" w:rsidRPr="00F9285E" w:rsidRDefault="001760D0" w:rsidP="001760D0">
            <w:pPr>
              <w:spacing w:line="360" w:lineRule="auto"/>
              <w:ind w:firstLine="709"/>
              <w:jc w:val="both"/>
              <w:rPr>
                <w:sz w:val="22"/>
                <w:szCs w:val="22"/>
              </w:rPr>
            </w:pPr>
          </w:p>
          <w:p w14:paraId="5E959DDC" w14:textId="77777777" w:rsidR="001760D0" w:rsidRPr="000133E2" w:rsidRDefault="001760D0" w:rsidP="001760D0">
            <w:pPr>
              <w:rPr>
                <w:sz w:val="22"/>
                <w:szCs w:val="22"/>
              </w:rPr>
            </w:pPr>
            <w:r w:rsidRPr="000133E2">
              <w:rPr>
                <w:sz w:val="22"/>
                <w:szCs w:val="22"/>
              </w:rPr>
              <w:t>2) Договор займа  № UCR–</w:t>
            </w:r>
            <w:r w:rsidRPr="000133E2">
              <w:rPr>
                <w:sz w:val="22"/>
                <w:szCs w:val="22"/>
                <w:lang w:val="en-US"/>
              </w:rPr>
              <w:t>RA</w:t>
            </w:r>
            <w:r w:rsidRPr="000133E2">
              <w:rPr>
                <w:sz w:val="22"/>
                <w:szCs w:val="22"/>
              </w:rPr>
              <w:t>/06–2021  между АО «РУСАЛ» (Заемщик) и МКПАО «</w:t>
            </w:r>
            <w:proofErr w:type="gramStart"/>
            <w:r w:rsidRPr="000133E2">
              <w:rPr>
                <w:sz w:val="22"/>
                <w:szCs w:val="22"/>
              </w:rPr>
              <w:t>ОК</w:t>
            </w:r>
            <w:proofErr w:type="gramEnd"/>
            <w:r w:rsidRPr="000133E2">
              <w:rPr>
                <w:sz w:val="22"/>
                <w:szCs w:val="22"/>
              </w:rPr>
              <w:t xml:space="preserve"> РУСАЛ» (Займодавец) на следующих основных условиях:</w:t>
            </w:r>
          </w:p>
          <w:p w14:paraId="2CD5F1B1" w14:textId="77777777" w:rsidR="001760D0" w:rsidRPr="000133E2" w:rsidRDefault="001760D0" w:rsidP="001760D0">
            <w:pPr>
              <w:jc w:val="both"/>
              <w:rPr>
                <w:sz w:val="22"/>
                <w:szCs w:val="22"/>
              </w:rPr>
            </w:pPr>
            <w:proofErr w:type="gramStart"/>
            <w:r w:rsidRPr="000133E2">
              <w:rPr>
                <w:sz w:val="22"/>
                <w:szCs w:val="22"/>
              </w:rPr>
              <w:t xml:space="preserve">2.1.Займодавец передает в собственность Заемщику в порядке и на условиях, оговоренных Договором, денежные средства в размере до </w:t>
            </w:r>
            <w:r w:rsidRPr="000133E2">
              <w:rPr>
                <w:b/>
                <w:sz w:val="22"/>
                <w:szCs w:val="22"/>
              </w:rPr>
              <w:t>2 107 710 756,51  (Два миллиарда сто семь миллионов семьсот десять тысяч семьсот пятьдесят шесть 51/100) долларов США (далее – «Сумма займа»)</w:t>
            </w:r>
            <w:r w:rsidRPr="000133E2">
              <w:rPr>
                <w:sz w:val="22"/>
                <w:szCs w:val="22"/>
              </w:rPr>
              <w:t>, а Заемщик обязуется вернуть фактически предоставленную сумму средств («</w:t>
            </w:r>
            <w:r w:rsidRPr="000133E2">
              <w:rPr>
                <w:b/>
                <w:sz w:val="22"/>
                <w:szCs w:val="22"/>
              </w:rPr>
              <w:t>Сумма предоставленного займа</w:t>
            </w:r>
            <w:r w:rsidRPr="000133E2">
              <w:rPr>
                <w:sz w:val="22"/>
                <w:szCs w:val="22"/>
              </w:rPr>
              <w:t>») по требованию Займодавца в обусловленный Договором срок и уплатить</w:t>
            </w:r>
            <w:proofErr w:type="gramEnd"/>
            <w:r w:rsidRPr="000133E2">
              <w:rPr>
                <w:sz w:val="22"/>
                <w:szCs w:val="22"/>
              </w:rPr>
              <w:t xml:space="preserve"> на нее указанные в Договоре проценты. </w:t>
            </w:r>
          </w:p>
          <w:p w14:paraId="26A5D4F1" w14:textId="77777777" w:rsidR="001760D0" w:rsidRPr="000133E2" w:rsidRDefault="001760D0" w:rsidP="001760D0">
            <w:pPr>
              <w:jc w:val="both"/>
              <w:rPr>
                <w:sz w:val="22"/>
                <w:szCs w:val="22"/>
              </w:rPr>
            </w:pPr>
            <w:r w:rsidRPr="000133E2">
              <w:rPr>
                <w:sz w:val="22"/>
                <w:szCs w:val="22"/>
              </w:rPr>
              <w:t xml:space="preserve">2.2.Средства по настоящему Договору предоставляются в долларах США. </w:t>
            </w:r>
          </w:p>
          <w:p w14:paraId="42E6D986" w14:textId="77777777" w:rsidR="001760D0" w:rsidRPr="000133E2" w:rsidRDefault="001760D0" w:rsidP="001760D0">
            <w:pPr>
              <w:jc w:val="both"/>
              <w:rPr>
                <w:sz w:val="22"/>
                <w:szCs w:val="22"/>
              </w:rPr>
            </w:pPr>
            <w:r w:rsidRPr="000133E2">
              <w:rPr>
                <w:sz w:val="22"/>
                <w:szCs w:val="22"/>
              </w:rPr>
              <w:t xml:space="preserve">2.3.Займодавец перечисляет Сумму займа в полном объеме или частями по требованию Заемщика на указанный Заемщиком банковский счет. Датой предоставления Суммы займа или ее части считается дата зачисления денежных средств на банковский счет Заемщика. </w:t>
            </w:r>
          </w:p>
          <w:p w14:paraId="2D33B775" w14:textId="646E4BDB" w:rsidR="001760D0" w:rsidRPr="000133E2" w:rsidRDefault="001760D0" w:rsidP="001760D0">
            <w:pPr>
              <w:jc w:val="both"/>
              <w:rPr>
                <w:sz w:val="22"/>
                <w:szCs w:val="22"/>
              </w:rPr>
            </w:pPr>
            <w:r w:rsidRPr="000133E2">
              <w:rPr>
                <w:sz w:val="22"/>
                <w:szCs w:val="22"/>
              </w:rPr>
              <w:t>2.4.Сумма займа может быть использована частями при условии, что остаток задолженности в течение всего срока действия Договора не будет превышать Суммы займа. В том числе, в случае досрочного частичного или досрочного полного погашения займа согласно п. 2.5. Заемщик в любой момент может требовать предоставления новой суммы займа в размере, не превышающей Суммы займа и на срок, заканчивающийся не позднее Даты погашения займа, как она определена ниже.</w:t>
            </w:r>
          </w:p>
          <w:p w14:paraId="3411CBD0" w14:textId="77777777" w:rsidR="001760D0" w:rsidRPr="000133E2" w:rsidRDefault="001760D0" w:rsidP="001760D0">
            <w:pPr>
              <w:widowControl w:val="0"/>
              <w:jc w:val="both"/>
              <w:rPr>
                <w:sz w:val="22"/>
                <w:szCs w:val="22"/>
              </w:rPr>
            </w:pPr>
            <w:r w:rsidRPr="000133E2">
              <w:rPr>
                <w:sz w:val="22"/>
                <w:szCs w:val="22"/>
              </w:rPr>
              <w:t xml:space="preserve">2.5.Заемщик обязан возвратить Сумму предоставленного займа Займодавцу в полном объеме не позднее </w:t>
            </w:r>
            <w:r w:rsidRPr="000133E2">
              <w:rPr>
                <w:b/>
                <w:sz w:val="22"/>
                <w:szCs w:val="22"/>
              </w:rPr>
              <w:t>24 декабря 2027 года («Дата погашения займа»</w:t>
            </w:r>
            <w:r w:rsidRPr="000133E2">
              <w:rPr>
                <w:sz w:val="22"/>
                <w:szCs w:val="22"/>
              </w:rPr>
              <w:t>), путем зачисления Суммы предоставленного займа на банковский счет последнего, указанный в Договоре.</w:t>
            </w:r>
          </w:p>
          <w:p w14:paraId="29C4A8E8" w14:textId="77777777" w:rsidR="001760D0" w:rsidRPr="000133E2" w:rsidRDefault="001760D0" w:rsidP="00641884">
            <w:pPr>
              <w:jc w:val="both"/>
              <w:rPr>
                <w:sz w:val="22"/>
                <w:szCs w:val="22"/>
              </w:rPr>
            </w:pPr>
            <w:r w:rsidRPr="000133E2">
              <w:rPr>
                <w:sz w:val="22"/>
                <w:szCs w:val="22"/>
              </w:rPr>
              <w:t>Заемщик вправе осуществлять погашение, в том числе и досрочно, любыми суммами в пределах указанного срока без предварительного согласия и уведомления Займодавца. Датой погашения считается дата зачисления соответствующих денежных средств на банковский счет Займодавца.</w:t>
            </w:r>
          </w:p>
          <w:p w14:paraId="7890848D" w14:textId="77777777" w:rsidR="001760D0" w:rsidRPr="000133E2" w:rsidRDefault="001760D0" w:rsidP="001760D0">
            <w:pPr>
              <w:jc w:val="both"/>
              <w:rPr>
                <w:sz w:val="22"/>
                <w:szCs w:val="22"/>
              </w:rPr>
            </w:pPr>
            <w:r w:rsidRPr="000133E2">
              <w:rPr>
                <w:sz w:val="22"/>
                <w:szCs w:val="22"/>
              </w:rPr>
              <w:lastRenderedPageBreak/>
              <w:t>2.6.Возврат Суммы займа и процентов производится либо в долларах США, либо в Евро, либо в рублях Российской Федерации. Для целей конвертации одной валюты в другую Стороны согласились использовать курс, установленный Центральным банком Российской Федерации для обмена валют на дату списания денежных средств со счета плательщика.</w:t>
            </w:r>
          </w:p>
          <w:p w14:paraId="5B39FEDF" w14:textId="7660F7E2" w:rsidR="001760D0" w:rsidRPr="000133E2" w:rsidRDefault="001760D0" w:rsidP="001760D0">
            <w:pPr>
              <w:widowControl w:val="0"/>
              <w:jc w:val="both"/>
              <w:rPr>
                <w:sz w:val="22"/>
                <w:szCs w:val="22"/>
                <w:highlight w:val="cyan"/>
              </w:rPr>
            </w:pPr>
            <w:r w:rsidRPr="000133E2">
              <w:rPr>
                <w:sz w:val="22"/>
                <w:szCs w:val="22"/>
              </w:rPr>
              <w:t>2.7.На Сумму предоставленного займа со дня, следующего за датой первого предоставления Суммы займа или его части согласно п. 2.</w:t>
            </w:r>
            <w:r>
              <w:rPr>
                <w:sz w:val="22"/>
                <w:szCs w:val="22"/>
              </w:rPr>
              <w:t>3</w:t>
            </w:r>
            <w:r w:rsidRPr="000133E2">
              <w:rPr>
                <w:sz w:val="22"/>
                <w:szCs w:val="22"/>
              </w:rPr>
              <w:t xml:space="preserve">. (включительно), до Даты погашения займа (включительно) ежемесячно начисляются проценты по ставке </w:t>
            </w:r>
            <w:proofErr w:type="spellStart"/>
            <w:r w:rsidRPr="000133E2">
              <w:rPr>
                <w:sz w:val="22"/>
                <w:szCs w:val="22"/>
              </w:rPr>
              <w:t>Libor</w:t>
            </w:r>
            <w:proofErr w:type="spellEnd"/>
            <w:r w:rsidRPr="000133E2">
              <w:rPr>
                <w:sz w:val="22"/>
                <w:szCs w:val="22"/>
              </w:rPr>
              <w:t xml:space="preserve"> 3M + 3,125% процентов в год в долларах США. </w:t>
            </w:r>
          </w:p>
          <w:p w14:paraId="5AF38F58" w14:textId="77777777" w:rsidR="001760D0" w:rsidRPr="000133E2" w:rsidRDefault="001760D0" w:rsidP="00641884">
            <w:pPr>
              <w:widowControl w:val="0"/>
              <w:jc w:val="both"/>
              <w:rPr>
                <w:sz w:val="22"/>
                <w:szCs w:val="22"/>
              </w:rPr>
            </w:pPr>
            <w:r w:rsidRPr="000133E2">
              <w:rPr>
                <w:color w:val="000000"/>
                <w:sz w:val="22"/>
                <w:szCs w:val="22"/>
              </w:rPr>
              <w:t>Процентная ставка устанавливается ежеквартально на соответствующий процентный период в соответствии с таблицей ниже (далее - «Процентный период»)»</w:t>
            </w:r>
            <w:r w:rsidRPr="000133E2">
              <w:rPr>
                <w:sz w:val="22"/>
                <w:szCs w:val="22"/>
              </w:rPr>
              <w:t xml:space="preserve">: 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11"/>
              <w:gridCol w:w="4252"/>
            </w:tblGrid>
            <w:tr w:rsidR="001760D0" w:rsidRPr="000133E2" w14:paraId="50FA0E06" w14:textId="77777777" w:rsidTr="00641884">
              <w:tc>
                <w:tcPr>
                  <w:tcW w:w="41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CF171B" w14:textId="77777777" w:rsidR="001760D0" w:rsidRPr="000133E2" w:rsidRDefault="001760D0" w:rsidP="001760D0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0133E2">
                    <w:rPr>
                      <w:sz w:val="22"/>
                      <w:szCs w:val="22"/>
                    </w:rPr>
                    <w:t xml:space="preserve">Дата котировки ставки LIBOR ЗМ </w:t>
                  </w:r>
                </w:p>
              </w:tc>
              <w:tc>
                <w:tcPr>
                  <w:tcW w:w="425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FB6557A" w14:textId="77777777" w:rsidR="001760D0" w:rsidRPr="000133E2" w:rsidRDefault="001760D0" w:rsidP="001760D0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0133E2">
                    <w:rPr>
                      <w:sz w:val="22"/>
                      <w:szCs w:val="22"/>
                    </w:rPr>
                    <w:t xml:space="preserve">Процентный период </w:t>
                  </w:r>
                </w:p>
              </w:tc>
            </w:tr>
            <w:tr w:rsidR="001760D0" w:rsidRPr="000133E2" w14:paraId="228BC0CE" w14:textId="77777777" w:rsidTr="00641884">
              <w:tc>
                <w:tcPr>
                  <w:tcW w:w="411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3F8DAD1" w14:textId="77777777" w:rsidR="001760D0" w:rsidRPr="000133E2" w:rsidRDefault="001760D0" w:rsidP="001760D0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0133E2">
                    <w:rPr>
                      <w:sz w:val="22"/>
                      <w:szCs w:val="22"/>
                    </w:rPr>
                    <w:t xml:space="preserve">Дата, предшествующая очередному Процентному периоду за 2 (Два) рабочих дня (включительно). 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CEF4737" w14:textId="77777777" w:rsidR="001760D0" w:rsidRPr="000133E2" w:rsidRDefault="001760D0" w:rsidP="001760D0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0133E2">
                    <w:rPr>
                      <w:sz w:val="22"/>
                      <w:szCs w:val="22"/>
                    </w:rPr>
                    <w:t xml:space="preserve">с 21 декабря по 20 марта </w:t>
                  </w:r>
                </w:p>
              </w:tc>
            </w:tr>
            <w:tr w:rsidR="001760D0" w:rsidRPr="000133E2" w14:paraId="3DDC7DA5" w14:textId="77777777" w:rsidTr="00641884">
              <w:tc>
                <w:tcPr>
                  <w:tcW w:w="4111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6705EAC" w14:textId="77777777" w:rsidR="001760D0" w:rsidRPr="000133E2" w:rsidRDefault="001760D0" w:rsidP="001760D0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ECE364" w14:textId="77777777" w:rsidR="001760D0" w:rsidRPr="000133E2" w:rsidRDefault="001760D0" w:rsidP="001760D0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0133E2">
                    <w:rPr>
                      <w:sz w:val="22"/>
                      <w:szCs w:val="22"/>
                    </w:rPr>
                    <w:t xml:space="preserve">с 21 марта по 20 июня </w:t>
                  </w:r>
                </w:p>
              </w:tc>
            </w:tr>
            <w:tr w:rsidR="001760D0" w:rsidRPr="000133E2" w14:paraId="78A0DC68" w14:textId="77777777" w:rsidTr="00641884">
              <w:tc>
                <w:tcPr>
                  <w:tcW w:w="4111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ECD08C5" w14:textId="77777777" w:rsidR="001760D0" w:rsidRPr="000133E2" w:rsidRDefault="001760D0" w:rsidP="001760D0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AD641A3" w14:textId="77777777" w:rsidR="001760D0" w:rsidRPr="000133E2" w:rsidRDefault="001760D0" w:rsidP="001760D0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0133E2">
                    <w:rPr>
                      <w:sz w:val="22"/>
                      <w:szCs w:val="22"/>
                    </w:rPr>
                    <w:t xml:space="preserve">с 21 июня по 20 сентября </w:t>
                  </w:r>
                </w:p>
              </w:tc>
            </w:tr>
            <w:tr w:rsidR="001760D0" w:rsidRPr="000133E2" w14:paraId="329EAB31" w14:textId="77777777" w:rsidTr="00641884">
              <w:tc>
                <w:tcPr>
                  <w:tcW w:w="4111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E348BF3" w14:textId="77777777" w:rsidR="001760D0" w:rsidRPr="000133E2" w:rsidRDefault="001760D0" w:rsidP="001760D0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0E9C105" w14:textId="77777777" w:rsidR="001760D0" w:rsidRPr="000133E2" w:rsidRDefault="001760D0" w:rsidP="001760D0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0133E2">
                    <w:rPr>
                      <w:sz w:val="22"/>
                      <w:szCs w:val="22"/>
                    </w:rPr>
                    <w:t xml:space="preserve">с 21 сентября по 20 декабря </w:t>
                  </w:r>
                </w:p>
              </w:tc>
            </w:tr>
          </w:tbl>
          <w:p w14:paraId="0C1A507E" w14:textId="77777777" w:rsidR="001760D0" w:rsidRPr="000133E2" w:rsidRDefault="001760D0" w:rsidP="00641884">
            <w:pPr>
              <w:keepNext/>
              <w:jc w:val="both"/>
              <w:rPr>
                <w:sz w:val="22"/>
                <w:szCs w:val="22"/>
              </w:rPr>
            </w:pPr>
            <w:proofErr w:type="gramStart"/>
            <w:r w:rsidRPr="000133E2">
              <w:rPr>
                <w:sz w:val="22"/>
                <w:szCs w:val="22"/>
              </w:rPr>
              <w:t xml:space="preserve">Размер ставки LIBOR 3M устанавливается в соответствии с данными, указанными на странице LIBOR01 информационной системы </w:t>
            </w:r>
            <w:proofErr w:type="spellStart"/>
            <w:r w:rsidRPr="000133E2">
              <w:rPr>
                <w:sz w:val="22"/>
                <w:szCs w:val="22"/>
              </w:rPr>
              <w:t>Reuters</w:t>
            </w:r>
            <w:proofErr w:type="spellEnd"/>
            <w:r w:rsidRPr="000133E2">
              <w:rPr>
                <w:sz w:val="22"/>
                <w:szCs w:val="22"/>
              </w:rPr>
              <w:t xml:space="preserve"> </w:t>
            </w:r>
            <w:proofErr w:type="spellStart"/>
            <w:r w:rsidRPr="000133E2">
              <w:rPr>
                <w:sz w:val="22"/>
                <w:szCs w:val="22"/>
              </w:rPr>
              <w:t>no</w:t>
            </w:r>
            <w:proofErr w:type="spellEnd"/>
            <w:r w:rsidRPr="000133E2">
              <w:rPr>
                <w:sz w:val="22"/>
                <w:szCs w:val="22"/>
              </w:rPr>
              <w:t xml:space="preserve"> состоянию на 15-00 часов московского времени в дату котировки, а в случае если на данной странице информационной системы </w:t>
            </w:r>
            <w:proofErr w:type="spellStart"/>
            <w:r w:rsidRPr="000133E2">
              <w:rPr>
                <w:sz w:val="22"/>
                <w:szCs w:val="22"/>
              </w:rPr>
              <w:t>Reuters</w:t>
            </w:r>
            <w:proofErr w:type="spellEnd"/>
            <w:r w:rsidRPr="000133E2">
              <w:rPr>
                <w:sz w:val="22"/>
                <w:szCs w:val="22"/>
              </w:rPr>
              <w:t xml:space="preserve"> ставка LIBOR ЗМ не указана по любым причинам, не связанным с праздничными/нерабочими днями или временным техническим сбоем при публикации ставок, то ставка определяется</w:t>
            </w:r>
            <w:proofErr w:type="gramEnd"/>
            <w:r w:rsidRPr="000133E2">
              <w:rPr>
                <w:sz w:val="22"/>
                <w:szCs w:val="22"/>
              </w:rPr>
              <w:t xml:space="preserve"> </w:t>
            </w:r>
            <w:proofErr w:type="gramStart"/>
            <w:r w:rsidRPr="000133E2">
              <w:rPr>
                <w:sz w:val="22"/>
                <w:szCs w:val="22"/>
              </w:rPr>
              <w:t xml:space="preserve">по данным на других страницах информационной системы </w:t>
            </w:r>
            <w:proofErr w:type="spellStart"/>
            <w:r w:rsidRPr="000133E2">
              <w:rPr>
                <w:sz w:val="22"/>
                <w:szCs w:val="22"/>
              </w:rPr>
              <w:t>Reuters</w:t>
            </w:r>
            <w:proofErr w:type="spellEnd"/>
            <w:r w:rsidRPr="000133E2">
              <w:rPr>
                <w:sz w:val="22"/>
                <w:szCs w:val="22"/>
              </w:rPr>
              <w:t xml:space="preserve"> по выбору Займодавца (при этом, если таких страниц несколько, принимается ставка, равная среднему арифметическому всех ставок, округленному до четырех цифр после запятой. </w:t>
            </w:r>
            <w:proofErr w:type="gramEnd"/>
          </w:p>
          <w:p w14:paraId="237788F9" w14:textId="77777777" w:rsidR="001C24EC" w:rsidRPr="000133E2" w:rsidRDefault="001C24EC" w:rsidP="001C24EC">
            <w:pPr>
              <w:keepNext/>
              <w:jc w:val="both"/>
              <w:rPr>
                <w:sz w:val="22"/>
                <w:szCs w:val="22"/>
              </w:rPr>
            </w:pPr>
            <w:r w:rsidRPr="000133E2">
              <w:rPr>
                <w:sz w:val="22"/>
                <w:szCs w:val="22"/>
              </w:rPr>
              <w:t xml:space="preserve">В случае несвоевременного погашения Суммы предоставленного займа и начисленных процентов (просрочки) на сумму непогашенного в срок займа проценты не начисляются, начиная с даты, следующей за датой погашения соответствующей </w:t>
            </w:r>
            <w:r w:rsidRPr="004A5C2B">
              <w:rPr>
                <w:sz w:val="22"/>
                <w:szCs w:val="22"/>
              </w:rPr>
              <w:t xml:space="preserve">суммы </w:t>
            </w:r>
            <w:r>
              <w:rPr>
                <w:sz w:val="22"/>
                <w:szCs w:val="22"/>
              </w:rPr>
              <w:t xml:space="preserve">займа </w:t>
            </w:r>
            <w:bookmarkStart w:id="0" w:name="_GoBack"/>
            <w:bookmarkEnd w:id="0"/>
            <w:r w:rsidRPr="004A5C2B">
              <w:rPr>
                <w:sz w:val="22"/>
                <w:szCs w:val="22"/>
              </w:rPr>
              <w:t>, установленной п. 2.5 настоящего решения  (включительно).</w:t>
            </w:r>
          </w:p>
          <w:p w14:paraId="45D61DDC" w14:textId="77777777" w:rsidR="001760D0" w:rsidRPr="000133E2" w:rsidRDefault="001760D0" w:rsidP="00641884">
            <w:pPr>
              <w:widowControl w:val="0"/>
              <w:jc w:val="both"/>
              <w:rPr>
                <w:sz w:val="22"/>
                <w:szCs w:val="22"/>
              </w:rPr>
            </w:pPr>
            <w:r w:rsidRPr="000133E2">
              <w:rPr>
                <w:sz w:val="22"/>
                <w:szCs w:val="22"/>
              </w:rPr>
              <w:t>2.8. В случае письменного уведомления Заимодавцем Заёмщика  Сумма предоставленного займа и процентов за пользование займом должна быть возвращена на счет третьего  лица-нерезидента, как указано в уведомлении.</w:t>
            </w:r>
          </w:p>
          <w:p w14:paraId="42444E66" w14:textId="01128574" w:rsidR="001760D0" w:rsidRPr="000133E2" w:rsidRDefault="001760D0" w:rsidP="00641884">
            <w:pPr>
              <w:jc w:val="both"/>
              <w:rPr>
                <w:sz w:val="22"/>
                <w:szCs w:val="22"/>
              </w:rPr>
            </w:pPr>
            <w:r w:rsidRPr="000133E2">
              <w:rPr>
                <w:sz w:val="22"/>
                <w:szCs w:val="22"/>
              </w:rPr>
              <w:t>2.9. Договор прекращается при погашении займа в соответствии с п. 2.5.</w:t>
            </w:r>
          </w:p>
          <w:p w14:paraId="518071DA" w14:textId="77777777" w:rsidR="001760D0" w:rsidRPr="000133E2" w:rsidRDefault="001760D0" w:rsidP="00641884">
            <w:pPr>
              <w:jc w:val="both"/>
              <w:rPr>
                <w:sz w:val="22"/>
                <w:szCs w:val="22"/>
              </w:rPr>
            </w:pPr>
            <w:r w:rsidRPr="000133E2">
              <w:rPr>
                <w:sz w:val="22"/>
                <w:szCs w:val="22"/>
              </w:rPr>
              <w:t xml:space="preserve">Договор может быть прекращен по соглашению Сторон или по требованию любой из Сторон по истечении 2 (двух) рабочих дней с момента получения другой Стороной требования о прекращении Договора. </w:t>
            </w:r>
          </w:p>
          <w:p w14:paraId="479C8705" w14:textId="77777777" w:rsidR="001760D0" w:rsidRPr="00780301" w:rsidRDefault="001760D0" w:rsidP="001760D0">
            <w:pPr>
              <w:jc w:val="both"/>
              <w:rPr>
                <w:sz w:val="22"/>
                <w:szCs w:val="22"/>
              </w:rPr>
            </w:pPr>
          </w:p>
          <w:p w14:paraId="5AF4A7F3" w14:textId="592703A2" w:rsidR="001760D0" w:rsidRDefault="001760D0" w:rsidP="001760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  <w:r w:rsidRPr="00324239">
              <w:rPr>
                <w:sz w:val="22"/>
                <w:szCs w:val="22"/>
              </w:rPr>
              <w:t xml:space="preserve">. </w:t>
            </w:r>
            <w:r w:rsidRPr="00404753">
              <w:rPr>
                <w:sz w:val="22"/>
                <w:szCs w:val="22"/>
              </w:rPr>
              <w:t xml:space="preserve">Цена сделки, определенная Советом директоров </w:t>
            </w:r>
            <w:r w:rsidR="004B7F7C" w:rsidRPr="004B7F7C">
              <w:rPr>
                <w:sz w:val="22"/>
                <w:szCs w:val="22"/>
              </w:rPr>
              <w:t>АО «РУСАЛ»</w:t>
            </w:r>
            <w:r w:rsidR="004B7F7C" w:rsidRPr="00B77B25">
              <w:rPr>
                <w:b/>
                <w:i/>
                <w:sz w:val="22"/>
                <w:szCs w:val="22"/>
              </w:rPr>
              <w:t xml:space="preserve"> </w:t>
            </w:r>
            <w:r w:rsidRPr="00404753">
              <w:rPr>
                <w:sz w:val="22"/>
                <w:szCs w:val="22"/>
              </w:rPr>
              <w:t>в соответствии со ст.77 Федерального закона «Об акционерных обществах», составляет</w:t>
            </w:r>
            <w:r>
              <w:rPr>
                <w:sz w:val="22"/>
                <w:szCs w:val="22"/>
              </w:rPr>
              <w:t>:</w:t>
            </w:r>
          </w:p>
          <w:p w14:paraId="76DC0D02" w14:textId="7F66E53D" w:rsidR="001760D0" w:rsidRPr="000B5780" w:rsidRDefault="001C24EC" w:rsidP="00641884">
            <w:pPr>
              <w:pStyle w:val="ac"/>
              <w:numPr>
                <w:ilvl w:val="0"/>
                <w:numId w:val="3"/>
              </w:numPr>
              <w:ind w:left="459"/>
              <w:jc w:val="both"/>
              <w:rPr>
                <w:sz w:val="22"/>
                <w:szCs w:val="22"/>
              </w:rPr>
            </w:pPr>
            <w:r w:rsidRPr="007D2049">
              <w:rPr>
                <w:sz w:val="22"/>
                <w:szCs w:val="22"/>
              </w:rPr>
              <w:t>Дополнительно</w:t>
            </w:r>
            <w:r>
              <w:rPr>
                <w:sz w:val="22"/>
                <w:szCs w:val="22"/>
              </w:rPr>
              <w:t>го</w:t>
            </w:r>
            <w:r w:rsidRPr="007D2049">
              <w:rPr>
                <w:sz w:val="22"/>
                <w:szCs w:val="22"/>
              </w:rPr>
              <w:t xml:space="preserve"> соглашени</w:t>
            </w:r>
            <w:r>
              <w:rPr>
                <w:sz w:val="22"/>
                <w:szCs w:val="22"/>
              </w:rPr>
              <w:t xml:space="preserve">я </w:t>
            </w:r>
            <w:r w:rsidRPr="000B5780">
              <w:rPr>
                <w:sz w:val="22"/>
                <w:szCs w:val="22"/>
              </w:rPr>
              <w:t>№ 2 к Договору займа № UCR–</w:t>
            </w:r>
            <w:r w:rsidRPr="000B5780">
              <w:rPr>
                <w:sz w:val="22"/>
                <w:szCs w:val="22"/>
                <w:lang w:val="en-US"/>
              </w:rPr>
              <w:t>RA</w:t>
            </w:r>
            <w:r w:rsidRPr="000B5780">
              <w:rPr>
                <w:sz w:val="22"/>
                <w:szCs w:val="22"/>
              </w:rPr>
              <w:t>/12–2020 от 31 декабря 2020 г.</w:t>
            </w:r>
            <w:r w:rsidRPr="007D204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–</w:t>
            </w:r>
            <w:r w:rsidRPr="000B5780">
              <w:rPr>
                <w:sz w:val="22"/>
                <w:szCs w:val="22"/>
              </w:rPr>
              <w:t>106 427 281 160,00 (Сто шесть миллиардов четыреста двадцать семь миллионов двести восемьдесят</w:t>
            </w:r>
            <w:r w:rsidRPr="00D17360">
              <w:rPr>
                <w:sz w:val="22"/>
                <w:szCs w:val="22"/>
              </w:rPr>
              <w:t xml:space="preserve"> одна тысяча сто шестьдесят 00 коп.) рублей, плюс ежемесячные проценты по ставке определяемой, как Ключев</w:t>
            </w:r>
            <w:r w:rsidRPr="007574EF">
              <w:rPr>
                <w:sz w:val="22"/>
                <w:szCs w:val="22"/>
              </w:rPr>
              <w:t>ая ставка Банка России + 2,025%</w:t>
            </w:r>
            <w:r w:rsidR="001760D0">
              <w:rPr>
                <w:sz w:val="22"/>
                <w:szCs w:val="22"/>
              </w:rPr>
              <w:t>;</w:t>
            </w:r>
          </w:p>
          <w:p w14:paraId="72EC0FF7" w14:textId="250C4D39" w:rsidR="001760D0" w:rsidRPr="00D17360" w:rsidRDefault="001760D0" w:rsidP="00641884">
            <w:pPr>
              <w:pStyle w:val="ac"/>
              <w:numPr>
                <w:ilvl w:val="0"/>
                <w:numId w:val="3"/>
              </w:numPr>
              <w:ind w:left="459"/>
              <w:jc w:val="both"/>
              <w:rPr>
                <w:sz w:val="22"/>
                <w:szCs w:val="22"/>
              </w:rPr>
            </w:pPr>
            <w:r w:rsidRPr="000133E2">
              <w:rPr>
                <w:sz w:val="22"/>
                <w:szCs w:val="22"/>
              </w:rPr>
              <w:t>Договор</w:t>
            </w:r>
            <w:r>
              <w:rPr>
                <w:sz w:val="22"/>
                <w:szCs w:val="22"/>
              </w:rPr>
              <w:t>а</w:t>
            </w:r>
            <w:r w:rsidR="00641884">
              <w:rPr>
                <w:sz w:val="22"/>
                <w:szCs w:val="22"/>
              </w:rPr>
              <w:t xml:space="preserve"> займа </w:t>
            </w:r>
            <w:r w:rsidRPr="000133E2">
              <w:rPr>
                <w:sz w:val="22"/>
                <w:szCs w:val="22"/>
              </w:rPr>
              <w:t>№ UCR–</w:t>
            </w:r>
            <w:r w:rsidRPr="00D17360">
              <w:rPr>
                <w:sz w:val="22"/>
                <w:szCs w:val="22"/>
              </w:rPr>
              <w:t>RA</w:t>
            </w:r>
            <w:r w:rsidRPr="000133E2">
              <w:rPr>
                <w:sz w:val="22"/>
                <w:szCs w:val="22"/>
              </w:rPr>
              <w:t>/06–2021</w:t>
            </w:r>
            <w:r>
              <w:rPr>
                <w:sz w:val="22"/>
                <w:szCs w:val="22"/>
              </w:rPr>
              <w:t xml:space="preserve"> –</w:t>
            </w:r>
            <w:r w:rsidR="00615A34" w:rsidRPr="00615A34">
              <w:rPr>
                <w:sz w:val="22"/>
                <w:szCs w:val="22"/>
              </w:rPr>
              <w:t xml:space="preserve"> </w:t>
            </w:r>
            <w:r w:rsidRPr="00D17360">
              <w:rPr>
                <w:sz w:val="22"/>
                <w:szCs w:val="22"/>
              </w:rPr>
              <w:t xml:space="preserve">2 107 710 756,51 (Два миллиарда сто семь миллионов семьсот десять тысяч семьсот пятьдесят шесть 51/100) долларов США, плюс ежемесячные проценты по ставке </w:t>
            </w:r>
            <w:proofErr w:type="spellStart"/>
            <w:r w:rsidRPr="00D17360">
              <w:rPr>
                <w:sz w:val="22"/>
                <w:szCs w:val="22"/>
              </w:rPr>
              <w:t>Libor</w:t>
            </w:r>
            <w:proofErr w:type="spellEnd"/>
            <w:r w:rsidRPr="00D17360">
              <w:rPr>
                <w:sz w:val="22"/>
                <w:szCs w:val="22"/>
              </w:rPr>
              <w:t xml:space="preserve"> 3M + 3,125% процентов в год в долларах США.</w:t>
            </w:r>
          </w:p>
          <w:p w14:paraId="652D7BE0" w14:textId="77777777" w:rsidR="003319E7" w:rsidRPr="003319E7" w:rsidRDefault="003319E7" w:rsidP="0088785C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  <w:p w14:paraId="1CF6380A" w14:textId="77777777" w:rsidR="00196533" w:rsidRPr="00AF0083" w:rsidRDefault="00196533" w:rsidP="00C839EA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2.5. С</w:t>
            </w:r>
            <w:r w:rsidRPr="00BB05F1">
              <w:rPr>
                <w:rFonts w:ascii="Times New Roman" w:hAnsi="Times New Roman" w:cs="Times New Roman"/>
                <w:sz w:val="22"/>
                <w:szCs w:val="22"/>
              </w:rPr>
              <w:t xml:space="preserve">рок </w:t>
            </w:r>
            <w:r w:rsidRPr="00AF0083">
              <w:rPr>
                <w:rFonts w:ascii="Times New Roman" w:hAnsi="Times New Roman" w:cs="Times New Roman"/>
                <w:sz w:val="22"/>
                <w:szCs w:val="22"/>
              </w:rPr>
              <w:t>исполнения обязательств по сделке, стороны и выгодоприобретатели по сделке, размер сделки в денежном выражении и в процентах от стоимости активов организации, контролирующей эмитента, которая совершила сделку:</w:t>
            </w:r>
            <w:r w:rsidR="001760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CD08E2F" w14:textId="4D080563" w:rsidR="0032025B" w:rsidRPr="009D1C2C" w:rsidRDefault="00C57DDA" w:rsidP="0032025B">
            <w:pPr>
              <w:autoSpaceDE/>
              <w:autoSpaceDN/>
              <w:spacing w:after="120"/>
              <w:jc w:val="both"/>
              <w:rPr>
                <w:b/>
                <w:i/>
                <w:sz w:val="22"/>
                <w:szCs w:val="22"/>
              </w:rPr>
            </w:pPr>
            <w:r w:rsidRPr="009D1C2C">
              <w:rPr>
                <w:sz w:val="22"/>
                <w:szCs w:val="22"/>
              </w:rPr>
              <w:t>Срок исполнения обязательств по сделк</w:t>
            </w:r>
            <w:r w:rsidR="004B7F7C">
              <w:rPr>
                <w:sz w:val="22"/>
                <w:szCs w:val="22"/>
              </w:rPr>
              <w:t>ам</w:t>
            </w:r>
            <w:r w:rsidRPr="009D1C2C">
              <w:rPr>
                <w:b/>
                <w:i/>
                <w:sz w:val="22"/>
                <w:szCs w:val="22"/>
              </w:rPr>
              <w:t xml:space="preserve">: </w:t>
            </w:r>
          </w:p>
          <w:p w14:paraId="57EB5D8A" w14:textId="77777777" w:rsidR="001760D0" w:rsidRPr="009D1C2C" w:rsidRDefault="001760D0" w:rsidP="001760D0">
            <w:pPr>
              <w:pStyle w:val="ac"/>
              <w:numPr>
                <w:ilvl w:val="0"/>
                <w:numId w:val="4"/>
              </w:numPr>
              <w:spacing w:after="120"/>
              <w:jc w:val="both"/>
              <w:rPr>
                <w:sz w:val="22"/>
                <w:szCs w:val="22"/>
              </w:rPr>
            </w:pPr>
            <w:r w:rsidRPr="009D1C2C">
              <w:rPr>
                <w:sz w:val="22"/>
                <w:szCs w:val="22"/>
              </w:rPr>
              <w:t>Дополнительное соглашение № 2 к Договору займа  № UCR–</w:t>
            </w:r>
            <w:r w:rsidRPr="009D1C2C">
              <w:rPr>
                <w:sz w:val="22"/>
                <w:szCs w:val="22"/>
                <w:lang w:val="en-US"/>
              </w:rPr>
              <w:t>RA</w:t>
            </w:r>
            <w:r w:rsidRPr="009D1C2C">
              <w:rPr>
                <w:sz w:val="22"/>
                <w:szCs w:val="22"/>
              </w:rPr>
              <w:t xml:space="preserve">/12–2020 от 31 декабря 2020 г. – </w:t>
            </w:r>
            <w:r w:rsidRPr="009D1C2C">
              <w:rPr>
                <w:b/>
                <w:i/>
                <w:sz w:val="22"/>
                <w:szCs w:val="22"/>
              </w:rPr>
              <w:t>не позднее 25 декабря 2027 года</w:t>
            </w:r>
          </w:p>
          <w:p w14:paraId="7B70675F" w14:textId="77777777" w:rsidR="001760D0" w:rsidRPr="009D1C2C" w:rsidRDefault="001760D0" w:rsidP="001760D0">
            <w:pPr>
              <w:pStyle w:val="ac"/>
              <w:numPr>
                <w:ilvl w:val="0"/>
                <w:numId w:val="4"/>
              </w:numPr>
              <w:spacing w:after="120"/>
              <w:jc w:val="both"/>
              <w:rPr>
                <w:sz w:val="22"/>
                <w:szCs w:val="22"/>
              </w:rPr>
            </w:pPr>
            <w:r w:rsidRPr="009D1C2C">
              <w:rPr>
                <w:sz w:val="22"/>
                <w:szCs w:val="22"/>
              </w:rPr>
              <w:t>Договор займа  № UCR–</w:t>
            </w:r>
            <w:r w:rsidRPr="009D1C2C">
              <w:rPr>
                <w:sz w:val="22"/>
                <w:szCs w:val="22"/>
                <w:lang w:val="en-US"/>
              </w:rPr>
              <w:t>RA</w:t>
            </w:r>
            <w:r w:rsidRPr="009D1C2C">
              <w:rPr>
                <w:sz w:val="22"/>
                <w:szCs w:val="22"/>
              </w:rPr>
              <w:t xml:space="preserve">/06–2021 – </w:t>
            </w:r>
            <w:r w:rsidRPr="009D1C2C">
              <w:rPr>
                <w:b/>
                <w:i/>
                <w:sz w:val="22"/>
                <w:szCs w:val="22"/>
              </w:rPr>
              <w:t>не позднее 24 декабря 2027 года.</w:t>
            </w:r>
          </w:p>
          <w:p w14:paraId="3FD0A2C3" w14:textId="0961D850" w:rsidR="0032025B" w:rsidRPr="00615A34" w:rsidRDefault="0032025B" w:rsidP="0032025B">
            <w:pPr>
              <w:autoSpaceDE/>
              <w:autoSpaceDN/>
              <w:spacing w:after="120"/>
              <w:jc w:val="both"/>
              <w:rPr>
                <w:b/>
                <w:i/>
                <w:sz w:val="22"/>
                <w:szCs w:val="22"/>
              </w:rPr>
            </w:pPr>
            <w:r w:rsidRPr="006862B9">
              <w:rPr>
                <w:b/>
                <w:i/>
                <w:sz w:val="22"/>
                <w:szCs w:val="22"/>
              </w:rPr>
              <w:t>Стороны</w:t>
            </w:r>
            <w:r w:rsidR="0088785C" w:rsidRPr="006862B9">
              <w:rPr>
                <w:b/>
                <w:i/>
                <w:sz w:val="22"/>
                <w:szCs w:val="22"/>
              </w:rPr>
              <w:t xml:space="preserve"> и/или выгодоприобретател</w:t>
            </w:r>
            <w:r w:rsidRPr="006862B9">
              <w:rPr>
                <w:b/>
                <w:i/>
                <w:sz w:val="22"/>
                <w:szCs w:val="22"/>
              </w:rPr>
              <w:t>и:</w:t>
            </w:r>
            <w:r w:rsidR="00AD2248" w:rsidRPr="006862B9">
              <w:rPr>
                <w:b/>
                <w:i/>
                <w:sz w:val="22"/>
                <w:szCs w:val="22"/>
              </w:rPr>
              <w:t xml:space="preserve"> АО «РУСАЛ», МКПАО «</w:t>
            </w:r>
            <w:proofErr w:type="gramStart"/>
            <w:r w:rsidR="00AD2248" w:rsidRPr="006862B9">
              <w:rPr>
                <w:b/>
                <w:i/>
                <w:sz w:val="22"/>
                <w:szCs w:val="22"/>
              </w:rPr>
              <w:t>ОК</w:t>
            </w:r>
            <w:proofErr w:type="gramEnd"/>
            <w:r w:rsidR="00AD2248" w:rsidRPr="006862B9">
              <w:rPr>
                <w:b/>
                <w:i/>
                <w:sz w:val="22"/>
                <w:szCs w:val="22"/>
              </w:rPr>
              <w:t xml:space="preserve"> РУСАЛ»</w:t>
            </w:r>
            <w:r w:rsidR="00615A34">
              <w:rPr>
                <w:b/>
                <w:i/>
                <w:sz w:val="22"/>
                <w:szCs w:val="22"/>
              </w:rPr>
              <w:t>.</w:t>
            </w:r>
          </w:p>
          <w:p w14:paraId="7C0F582F" w14:textId="4F72C7A0" w:rsidR="006F299A" w:rsidRDefault="004B7F7C" w:rsidP="006F299A">
            <w:pPr>
              <w:autoSpaceDE/>
              <w:autoSpaceDN/>
              <w:spacing w:after="120"/>
              <w:jc w:val="both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сделок</w:t>
            </w:r>
            <w:r w:rsidR="00C57DDA" w:rsidRPr="00C57DDA">
              <w:rPr>
                <w:sz w:val="22"/>
                <w:szCs w:val="22"/>
              </w:rPr>
              <w:t xml:space="preserve"> в денежном выражении и в процентах от стоимости активов </w:t>
            </w:r>
            <w:r w:rsidR="00C57DDA" w:rsidRPr="00BB05F1">
              <w:rPr>
                <w:sz w:val="22"/>
                <w:szCs w:val="22"/>
              </w:rPr>
              <w:t xml:space="preserve">организации, контролирующей эмитента, </w:t>
            </w:r>
            <w:r w:rsidR="00C57DDA">
              <w:rPr>
                <w:sz w:val="22"/>
                <w:szCs w:val="22"/>
              </w:rPr>
              <w:t>которая совершила сделку</w:t>
            </w:r>
            <w:r w:rsidR="00C57DDA" w:rsidRPr="00C57DDA">
              <w:rPr>
                <w:sz w:val="22"/>
                <w:szCs w:val="22"/>
              </w:rPr>
              <w:t xml:space="preserve">: </w:t>
            </w:r>
            <w:r w:rsidR="006F299A" w:rsidRPr="006F299A">
              <w:rPr>
                <w:b/>
                <w:i/>
                <w:sz w:val="22"/>
                <w:szCs w:val="22"/>
              </w:rPr>
              <w:t xml:space="preserve">352 540 597 392,26 (Триста пятьдесят два миллиарда пятьсот сорок миллионов пятьсот девяносто семь тысяч триста девяносто два) </w:t>
            </w:r>
            <w:r w:rsidR="006F299A" w:rsidRPr="006F299A">
              <w:rPr>
                <w:b/>
                <w:i/>
                <w:sz w:val="22"/>
                <w:szCs w:val="22"/>
              </w:rPr>
              <w:lastRenderedPageBreak/>
              <w:t>рублей 26 копеек или 72,32 % от стоимости активов эмитента</w:t>
            </w:r>
            <w:r w:rsidR="006F299A" w:rsidRPr="006F299A">
              <w:rPr>
                <w:b/>
                <w:i/>
                <w:color w:val="000000"/>
                <w:sz w:val="22"/>
                <w:szCs w:val="22"/>
              </w:rPr>
              <w:t>.</w:t>
            </w:r>
          </w:p>
          <w:p w14:paraId="375C8E34" w14:textId="6276E235" w:rsidR="00C57DDA" w:rsidRPr="00C57DDA" w:rsidRDefault="00196533" w:rsidP="00C839EA">
            <w:pPr>
              <w:spacing w:after="120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2.6. С</w:t>
            </w:r>
            <w:r w:rsidRPr="00BB05F1">
              <w:rPr>
                <w:sz w:val="22"/>
                <w:szCs w:val="22"/>
              </w:rPr>
              <w:t>тоимость активов организации, контролирующей эмитента, которая совершила сделку, на дату окончания отчетного периода (квартала, года), предшествующего совершению сделки (заключению договора), в отношении которого истек установленный срок представления бухгалтерской (фина</w:t>
            </w:r>
            <w:r>
              <w:rPr>
                <w:sz w:val="22"/>
                <w:szCs w:val="22"/>
              </w:rPr>
              <w:t xml:space="preserve">нсовой) отчетности: </w:t>
            </w:r>
            <w:r w:rsidR="00C57DDA" w:rsidRPr="00AC34AD">
              <w:rPr>
                <w:b/>
                <w:i/>
                <w:sz w:val="22"/>
                <w:szCs w:val="22"/>
              </w:rPr>
              <w:t>по состоянию на 3</w:t>
            </w:r>
            <w:r w:rsidR="00713851">
              <w:rPr>
                <w:b/>
                <w:i/>
                <w:sz w:val="22"/>
                <w:szCs w:val="22"/>
              </w:rPr>
              <w:t>1</w:t>
            </w:r>
            <w:r w:rsidR="00C57DDA" w:rsidRPr="00AC34AD">
              <w:rPr>
                <w:b/>
                <w:i/>
                <w:sz w:val="22"/>
                <w:szCs w:val="22"/>
              </w:rPr>
              <w:t>.</w:t>
            </w:r>
            <w:r w:rsidR="00713851">
              <w:rPr>
                <w:b/>
                <w:i/>
                <w:sz w:val="22"/>
                <w:szCs w:val="22"/>
              </w:rPr>
              <w:t>12</w:t>
            </w:r>
            <w:r w:rsidR="00C57DDA" w:rsidRPr="00AC34AD">
              <w:rPr>
                <w:b/>
                <w:i/>
                <w:sz w:val="22"/>
                <w:szCs w:val="22"/>
              </w:rPr>
              <w:t>.20</w:t>
            </w:r>
            <w:r w:rsidR="0032025B">
              <w:rPr>
                <w:b/>
                <w:i/>
                <w:sz w:val="22"/>
                <w:szCs w:val="22"/>
              </w:rPr>
              <w:t>2</w:t>
            </w:r>
            <w:r w:rsidR="00713851">
              <w:rPr>
                <w:b/>
                <w:i/>
                <w:sz w:val="22"/>
                <w:szCs w:val="22"/>
              </w:rPr>
              <w:t>0</w:t>
            </w:r>
            <w:r w:rsidR="00C57DDA">
              <w:rPr>
                <w:b/>
                <w:i/>
                <w:sz w:val="22"/>
                <w:szCs w:val="22"/>
              </w:rPr>
              <w:t xml:space="preserve"> г. </w:t>
            </w:r>
            <w:r w:rsidR="00C57DDA" w:rsidRPr="00AC34AD">
              <w:rPr>
                <w:sz w:val="22"/>
                <w:szCs w:val="22"/>
              </w:rPr>
              <w:t>–</w:t>
            </w:r>
            <w:r w:rsidR="0032025B">
              <w:rPr>
                <w:sz w:val="22"/>
                <w:szCs w:val="22"/>
              </w:rPr>
              <w:t xml:space="preserve"> </w:t>
            </w:r>
            <w:r w:rsidR="00713851" w:rsidRPr="00713851">
              <w:rPr>
                <w:b/>
                <w:i/>
                <w:sz w:val="22"/>
                <w:szCs w:val="22"/>
              </w:rPr>
              <w:t>487</w:t>
            </w:r>
            <w:r w:rsidR="00713851">
              <w:rPr>
                <w:b/>
                <w:i/>
                <w:sz w:val="22"/>
                <w:szCs w:val="22"/>
              </w:rPr>
              <w:t xml:space="preserve"> </w:t>
            </w:r>
            <w:r w:rsidR="00713851" w:rsidRPr="00713851">
              <w:rPr>
                <w:b/>
                <w:i/>
                <w:sz w:val="22"/>
                <w:szCs w:val="22"/>
              </w:rPr>
              <w:t>454</w:t>
            </w:r>
            <w:r w:rsidR="00713851">
              <w:rPr>
                <w:b/>
                <w:i/>
                <w:sz w:val="22"/>
                <w:szCs w:val="22"/>
              </w:rPr>
              <w:t xml:space="preserve"> </w:t>
            </w:r>
            <w:r w:rsidR="00713851" w:rsidRPr="00713851">
              <w:rPr>
                <w:b/>
                <w:i/>
                <w:sz w:val="22"/>
                <w:szCs w:val="22"/>
              </w:rPr>
              <w:t>625</w:t>
            </w:r>
            <w:r w:rsidR="00713851">
              <w:rPr>
                <w:b/>
                <w:i/>
                <w:sz w:val="22"/>
                <w:szCs w:val="22"/>
              </w:rPr>
              <w:t xml:space="preserve"> </w:t>
            </w:r>
            <w:r w:rsidR="00713851" w:rsidRPr="00713851">
              <w:rPr>
                <w:b/>
                <w:i/>
                <w:sz w:val="22"/>
                <w:szCs w:val="22"/>
              </w:rPr>
              <w:t>111,88</w:t>
            </w:r>
            <w:r w:rsidR="0032025B">
              <w:rPr>
                <w:b/>
                <w:i/>
                <w:sz w:val="22"/>
                <w:szCs w:val="22"/>
              </w:rPr>
              <w:t xml:space="preserve"> </w:t>
            </w:r>
            <w:r w:rsidR="00C57DDA" w:rsidRPr="00AC34AD">
              <w:rPr>
                <w:b/>
                <w:bCs/>
                <w:i/>
                <w:iCs/>
                <w:sz w:val="22"/>
                <w:szCs w:val="22"/>
              </w:rPr>
              <w:t>руб.</w:t>
            </w:r>
          </w:p>
          <w:p w14:paraId="74C83CC0" w14:textId="1619CD39" w:rsidR="00C839EA" w:rsidRPr="00C839EA" w:rsidRDefault="00196533" w:rsidP="00C839EA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2.7. Д</w:t>
            </w:r>
            <w:r w:rsidRPr="00BB05F1">
              <w:rPr>
                <w:rFonts w:ascii="Times New Roman" w:hAnsi="Times New Roman" w:cs="Times New Roman"/>
                <w:sz w:val="22"/>
                <w:szCs w:val="22"/>
              </w:rPr>
              <w:t>ата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ия сделки (заключения договора): </w:t>
            </w:r>
            <w:r w:rsidR="004B7F7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05 августа </w:t>
            </w:r>
            <w:r w:rsidR="000E391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20</w:t>
            </w:r>
            <w:r w:rsidR="0032025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21</w:t>
            </w:r>
            <w:r w:rsidR="00C57DDA" w:rsidRPr="00C57DD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г.</w:t>
            </w:r>
          </w:p>
          <w:p w14:paraId="40CF861D" w14:textId="3B8F519E" w:rsidR="00137191" w:rsidRPr="00137191" w:rsidRDefault="00196533" w:rsidP="00641884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2.8. С</w:t>
            </w:r>
            <w:r w:rsidRPr="00BB05F1">
              <w:rPr>
                <w:rFonts w:ascii="Times New Roman" w:hAnsi="Times New Roman" w:cs="Times New Roman"/>
                <w:sz w:val="22"/>
                <w:szCs w:val="22"/>
              </w:rPr>
              <w:t>ведения об одобрении сделки в случае, когда такая сделка была одобрена уполномоченным органом управления организации, контролирующей эмитента, которая совершила сделку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32025B" w:rsidRPr="006862B9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сделка предусматривает последующее одобрение. </w:t>
            </w:r>
          </w:p>
        </w:tc>
      </w:tr>
    </w:tbl>
    <w:p w14:paraId="1128CE9A" w14:textId="77777777" w:rsidR="00196533" w:rsidRPr="009159C9" w:rsidRDefault="00196533" w:rsidP="00196533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196533" w:rsidRPr="009159C9" w14:paraId="120B06CE" w14:textId="77777777" w:rsidTr="009B480F">
        <w:trPr>
          <w:cantSplit/>
        </w:trPr>
        <w:tc>
          <w:tcPr>
            <w:tcW w:w="9951" w:type="dxa"/>
          </w:tcPr>
          <w:p w14:paraId="658A9F38" w14:textId="77777777" w:rsidR="00196533" w:rsidRPr="009159C9" w:rsidRDefault="00196533" w:rsidP="009B480F">
            <w:pPr>
              <w:jc w:val="center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3. Подпись</w:t>
            </w:r>
          </w:p>
        </w:tc>
      </w:tr>
      <w:tr w:rsidR="00196533" w:rsidRPr="009159C9" w14:paraId="32D94447" w14:textId="77777777" w:rsidTr="009B480F">
        <w:trPr>
          <w:cantSplit/>
        </w:trPr>
        <w:tc>
          <w:tcPr>
            <w:tcW w:w="9951" w:type="dxa"/>
          </w:tcPr>
          <w:p w14:paraId="4C10D00C" w14:textId="77777777" w:rsidR="00196533" w:rsidRPr="009159C9" w:rsidRDefault="00196533" w:rsidP="009B480F">
            <w:pPr>
              <w:rPr>
                <w:sz w:val="22"/>
                <w:szCs w:val="22"/>
              </w:rPr>
            </w:pPr>
          </w:p>
          <w:p w14:paraId="3C0A3394" w14:textId="77777777" w:rsidR="00C839EA" w:rsidRDefault="00C839EA" w:rsidP="009B48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 Управляющий директор</w:t>
            </w:r>
          </w:p>
          <w:p w14:paraId="6E6978B9" w14:textId="77777777" w:rsidR="00196533" w:rsidRPr="009159C9" w:rsidRDefault="00137191" w:rsidP="009B48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C839EA">
              <w:rPr>
                <w:sz w:val="22"/>
                <w:szCs w:val="22"/>
              </w:rPr>
              <w:t xml:space="preserve"> ПАО «РУСАЛ Братск»</w:t>
            </w:r>
            <w:r w:rsidR="00196533" w:rsidRPr="009159C9">
              <w:rPr>
                <w:sz w:val="22"/>
                <w:szCs w:val="22"/>
              </w:rPr>
              <w:t xml:space="preserve">               </w:t>
            </w:r>
            <w:r>
              <w:rPr>
                <w:sz w:val="22"/>
                <w:szCs w:val="22"/>
              </w:rPr>
              <w:t xml:space="preserve">         </w:t>
            </w:r>
            <w:r w:rsidR="00196533" w:rsidRPr="009159C9">
              <w:rPr>
                <w:sz w:val="22"/>
                <w:szCs w:val="22"/>
              </w:rPr>
              <w:t xml:space="preserve">_____________________               </w:t>
            </w:r>
            <w:r>
              <w:rPr>
                <w:sz w:val="22"/>
                <w:szCs w:val="22"/>
              </w:rPr>
              <w:t xml:space="preserve">      </w:t>
            </w:r>
            <w:r w:rsidR="00196533" w:rsidRPr="009159C9">
              <w:rPr>
                <w:sz w:val="22"/>
                <w:szCs w:val="22"/>
              </w:rPr>
              <w:t xml:space="preserve"> </w:t>
            </w:r>
            <w:r w:rsidR="00C839EA">
              <w:rPr>
                <w:sz w:val="22"/>
                <w:szCs w:val="22"/>
              </w:rPr>
              <w:t>Зенкин Е.Ю.</w:t>
            </w:r>
          </w:p>
          <w:p w14:paraId="5F4947BE" w14:textId="77777777" w:rsidR="000E3918" w:rsidRPr="008E1CD2" w:rsidRDefault="000E3918" w:rsidP="009B480F">
            <w:r>
              <w:rPr>
                <w:sz w:val="22"/>
                <w:szCs w:val="22"/>
              </w:rPr>
              <w:t xml:space="preserve">                                                                                    </w:t>
            </w:r>
            <w:r w:rsidRPr="000E3918">
              <w:t>(подпись)</w:t>
            </w:r>
          </w:p>
          <w:p w14:paraId="19522BA7" w14:textId="0392D216" w:rsidR="00196533" w:rsidRDefault="00196533" w:rsidP="008E1CD2">
            <w:pPr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3.2. Дата «</w:t>
            </w:r>
            <w:r w:rsidR="004B7F7C">
              <w:rPr>
                <w:sz w:val="22"/>
                <w:szCs w:val="22"/>
              </w:rPr>
              <w:t>05</w:t>
            </w:r>
            <w:r w:rsidRPr="009159C9">
              <w:rPr>
                <w:sz w:val="22"/>
                <w:szCs w:val="22"/>
              </w:rPr>
              <w:t xml:space="preserve">» </w:t>
            </w:r>
            <w:r w:rsidR="004B7F7C">
              <w:rPr>
                <w:sz w:val="22"/>
                <w:szCs w:val="22"/>
              </w:rPr>
              <w:t>августа</w:t>
            </w:r>
            <w:r w:rsidR="000E3918">
              <w:rPr>
                <w:sz w:val="22"/>
                <w:szCs w:val="22"/>
              </w:rPr>
              <w:t xml:space="preserve"> 20</w:t>
            </w:r>
            <w:r w:rsidR="0032025B">
              <w:rPr>
                <w:sz w:val="22"/>
                <w:szCs w:val="22"/>
              </w:rPr>
              <w:t>21</w:t>
            </w:r>
            <w:r w:rsidRPr="009159C9">
              <w:rPr>
                <w:sz w:val="22"/>
                <w:szCs w:val="22"/>
              </w:rPr>
              <w:t xml:space="preserve"> г.</w:t>
            </w:r>
            <w:r w:rsidR="000E3918">
              <w:rPr>
                <w:sz w:val="22"/>
                <w:szCs w:val="22"/>
              </w:rPr>
              <w:t xml:space="preserve">                                      </w:t>
            </w:r>
            <w:r w:rsidR="008E1CD2">
              <w:rPr>
                <w:sz w:val="22"/>
                <w:szCs w:val="22"/>
              </w:rPr>
              <w:t>М</w:t>
            </w:r>
            <w:r w:rsidRPr="009159C9">
              <w:rPr>
                <w:sz w:val="22"/>
                <w:szCs w:val="22"/>
              </w:rPr>
              <w:t>.П.</w:t>
            </w:r>
          </w:p>
          <w:p w14:paraId="0061612A" w14:textId="77777777" w:rsidR="008E1CD2" w:rsidRPr="009159C9" w:rsidRDefault="008E1CD2" w:rsidP="008E1CD2">
            <w:pPr>
              <w:rPr>
                <w:sz w:val="22"/>
                <w:szCs w:val="22"/>
              </w:rPr>
            </w:pPr>
          </w:p>
        </w:tc>
      </w:tr>
    </w:tbl>
    <w:p w14:paraId="541D1E3A" w14:textId="77777777" w:rsidR="007E6324" w:rsidRDefault="007E6324"/>
    <w:sectPr w:rsidR="007E6324" w:rsidSect="00137191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BCE8D8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75607"/>
    <w:multiLevelType w:val="hybridMultilevel"/>
    <w:tmpl w:val="45F06AEE"/>
    <w:lvl w:ilvl="0" w:tplc="6C54417C">
      <w:start w:val="1"/>
      <w:numFmt w:val="decimal"/>
      <w:lvlText w:val="(%1)"/>
      <w:lvlJc w:val="left"/>
      <w:pPr>
        <w:ind w:left="121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14A654D7"/>
    <w:multiLevelType w:val="hybridMultilevel"/>
    <w:tmpl w:val="0028509C"/>
    <w:lvl w:ilvl="0" w:tplc="2032811E">
      <w:start w:val="1"/>
      <w:numFmt w:val="decimal"/>
      <w:lvlText w:val="(%1)"/>
      <w:lvlJc w:val="left"/>
      <w:pPr>
        <w:ind w:left="149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ind w:left="889" w:hanging="18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36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  <w:rPr>
        <w:rFonts w:cs="Times New Roman"/>
      </w:rPr>
    </w:lvl>
  </w:abstractNum>
  <w:abstractNum w:abstractNumId="2">
    <w:nsid w:val="368A038E"/>
    <w:multiLevelType w:val="hybridMultilevel"/>
    <w:tmpl w:val="CEE00B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BA0504"/>
    <w:multiLevelType w:val="hybridMultilevel"/>
    <w:tmpl w:val="5CCA29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EDF"/>
    <w:rsid w:val="000E3918"/>
    <w:rsid w:val="0011233B"/>
    <w:rsid w:val="00124A49"/>
    <w:rsid w:val="00137191"/>
    <w:rsid w:val="00143714"/>
    <w:rsid w:val="001760D0"/>
    <w:rsid w:val="00196533"/>
    <w:rsid w:val="001C24EC"/>
    <w:rsid w:val="002B67CD"/>
    <w:rsid w:val="0032025B"/>
    <w:rsid w:val="003319E7"/>
    <w:rsid w:val="00350E28"/>
    <w:rsid w:val="003A4351"/>
    <w:rsid w:val="00411588"/>
    <w:rsid w:val="00473DE5"/>
    <w:rsid w:val="004A5E38"/>
    <w:rsid w:val="004B7F7C"/>
    <w:rsid w:val="004F0405"/>
    <w:rsid w:val="00530AAB"/>
    <w:rsid w:val="005E372D"/>
    <w:rsid w:val="00615A34"/>
    <w:rsid w:val="00641884"/>
    <w:rsid w:val="00675C24"/>
    <w:rsid w:val="00676D2B"/>
    <w:rsid w:val="00676E11"/>
    <w:rsid w:val="006862B9"/>
    <w:rsid w:val="006B59E5"/>
    <w:rsid w:val="006F299A"/>
    <w:rsid w:val="00713851"/>
    <w:rsid w:val="007D512B"/>
    <w:rsid w:val="007D6039"/>
    <w:rsid w:val="007D7D3A"/>
    <w:rsid w:val="007E6324"/>
    <w:rsid w:val="0081300E"/>
    <w:rsid w:val="0088785C"/>
    <w:rsid w:val="008E1CD2"/>
    <w:rsid w:val="009168A4"/>
    <w:rsid w:val="00922BE6"/>
    <w:rsid w:val="009A161F"/>
    <w:rsid w:val="009D1C2C"/>
    <w:rsid w:val="00A86354"/>
    <w:rsid w:val="00AA3BBF"/>
    <w:rsid w:val="00AA7EDF"/>
    <w:rsid w:val="00AC4368"/>
    <w:rsid w:val="00AD0672"/>
    <w:rsid w:val="00AD2248"/>
    <w:rsid w:val="00AF0083"/>
    <w:rsid w:val="00BA02A7"/>
    <w:rsid w:val="00C57DDA"/>
    <w:rsid w:val="00C839EA"/>
    <w:rsid w:val="00C97181"/>
    <w:rsid w:val="00CB33FB"/>
    <w:rsid w:val="00CE268E"/>
    <w:rsid w:val="00D442AA"/>
    <w:rsid w:val="00D54928"/>
    <w:rsid w:val="00D83094"/>
    <w:rsid w:val="00D837A0"/>
    <w:rsid w:val="00DD1295"/>
    <w:rsid w:val="00DE3901"/>
    <w:rsid w:val="00E117F5"/>
    <w:rsid w:val="00EC55B1"/>
    <w:rsid w:val="00F014F6"/>
    <w:rsid w:val="00F5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74F3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53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6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96533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5E372D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5E372D"/>
  </w:style>
  <w:style w:type="character" w:customStyle="1" w:styleId="a6">
    <w:name w:val="Текст примечания Знак"/>
    <w:basedOn w:val="a0"/>
    <w:link w:val="a5"/>
    <w:uiPriority w:val="99"/>
    <w:rsid w:val="005E37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E372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E37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E372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E372D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Revision"/>
    <w:hidden/>
    <w:uiPriority w:val="99"/>
    <w:semiHidden/>
    <w:rsid w:val="00DD12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1760D0"/>
    <w:pPr>
      <w:autoSpaceDE/>
      <w:autoSpaceDN/>
      <w:ind w:left="720"/>
      <w:contextualSpacing/>
    </w:pPr>
    <w:rPr>
      <w:sz w:val="24"/>
      <w:szCs w:val="24"/>
    </w:rPr>
  </w:style>
  <w:style w:type="paragraph" w:customStyle="1" w:styleId="ConsNormal">
    <w:name w:val="ConsNormal"/>
    <w:rsid w:val="001760D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z w:val="3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53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6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96533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5E372D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5E372D"/>
  </w:style>
  <w:style w:type="character" w:customStyle="1" w:styleId="a6">
    <w:name w:val="Текст примечания Знак"/>
    <w:basedOn w:val="a0"/>
    <w:link w:val="a5"/>
    <w:uiPriority w:val="99"/>
    <w:rsid w:val="005E37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E372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E37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E372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E372D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Revision"/>
    <w:hidden/>
    <w:uiPriority w:val="99"/>
    <w:semiHidden/>
    <w:rsid w:val="00DD12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1760D0"/>
    <w:pPr>
      <w:autoSpaceDE/>
      <w:autoSpaceDN/>
      <w:ind w:left="720"/>
      <w:contextualSpacing/>
    </w:pPr>
    <w:rPr>
      <w:sz w:val="24"/>
      <w:szCs w:val="24"/>
    </w:rPr>
  </w:style>
  <w:style w:type="paragraph" w:customStyle="1" w:styleId="ConsNormal">
    <w:name w:val="ConsNormal"/>
    <w:rsid w:val="001760D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8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raz-rusal.ru/" TargetMode="Externa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1923</Words>
  <Characters>10965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UkolovaAI</dc:creator>
  <cp:lastModifiedBy>lo</cp:lastModifiedBy>
  <cp:revision>2</cp:revision>
  <dcterms:created xsi:type="dcterms:W3CDTF">2021-08-09T05:23:00Z</dcterms:created>
  <dcterms:modified xsi:type="dcterms:W3CDTF">2021-08-09T05:23:00Z</dcterms:modified>
</cp:coreProperties>
</file>