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1D" w:rsidRPr="00763326" w:rsidRDefault="00D33C1D" w:rsidP="00D33C1D">
      <w:pPr>
        <w:pStyle w:val="a9"/>
        <w:spacing w:after="0"/>
        <w:rPr>
          <w:sz w:val="22"/>
          <w:szCs w:val="22"/>
        </w:rPr>
      </w:pPr>
      <w:r w:rsidRPr="00763326">
        <w:rPr>
          <w:sz w:val="22"/>
          <w:szCs w:val="22"/>
        </w:rPr>
        <w:t>Сообщение о существенном факте</w:t>
      </w:r>
    </w:p>
    <w:p w:rsidR="00966567" w:rsidRPr="00763326" w:rsidRDefault="00966567" w:rsidP="00966567">
      <w:pPr>
        <w:jc w:val="center"/>
        <w:rPr>
          <w:b/>
          <w:sz w:val="22"/>
          <w:szCs w:val="22"/>
        </w:rPr>
      </w:pPr>
      <w:r w:rsidRPr="00763326">
        <w:rPr>
          <w:b/>
          <w:sz w:val="22"/>
          <w:szCs w:val="22"/>
        </w:rPr>
        <w:t>о совершении эмитентом существенной сделки</w:t>
      </w:r>
      <w:r w:rsidR="002C5BBA" w:rsidRPr="00763326">
        <w:rPr>
          <w:b/>
          <w:sz w:val="22"/>
          <w:szCs w:val="22"/>
        </w:rPr>
        <w:t>;</w:t>
      </w:r>
    </w:p>
    <w:p w:rsidR="00EE1ACA" w:rsidRPr="00763326" w:rsidRDefault="002C5BBA" w:rsidP="009F4958">
      <w:pPr>
        <w:spacing w:after="120"/>
        <w:jc w:val="center"/>
        <w:rPr>
          <w:b/>
          <w:bCs/>
          <w:sz w:val="22"/>
          <w:szCs w:val="22"/>
        </w:rPr>
      </w:pPr>
      <w:r w:rsidRPr="00763326">
        <w:rPr>
          <w:b/>
          <w:color w:val="000000"/>
          <w:sz w:val="22"/>
          <w:szCs w:val="22"/>
          <w:shd w:val="clear" w:color="auto" w:fill="FFFFFF"/>
        </w:rPr>
        <w:t xml:space="preserve">о сделке, </w:t>
      </w:r>
      <w:r w:rsidR="009C0F74" w:rsidRPr="00763326">
        <w:rPr>
          <w:b/>
          <w:color w:val="000000"/>
          <w:sz w:val="22"/>
          <w:szCs w:val="22"/>
          <w:shd w:val="clear" w:color="auto" w:fill="FFFFFF"/>
        </w:rPr>
        <w:t>в совершении которой имеется заинтересованность</w:t>
      </w:r>
      <w:r w:rsidR="009C0F74" w:rsidRPr="00763326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0A705B" w:rsidRPr="00763326" w:rsidTr="009E20A1">
        <w:tc>
          <w:tcPr>
            <w:tcW w:w="10234" w:type="dxa"/>
            <w:gridSpan w:val="2"/>
          </w:tcPr>
          <w:p w:rsidR="000A705B" w:rsidRPr="00763326" w:rsidRDefault="000A705B">
            <w:pPr>
              <w:jc w:val="center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1. Общие сведения</w:t>
            </w:r>
          </w:p>
        </w:tc>
      </w:tr>
      <w:tr w:rsidR="000A705B" w:rsidRPr="00763326" w:rsidTr="009E20A1">
        <w:tc>
          <w:tcPr>
            <w:tcW w:w="5117" w:type="dxa"/>
          </w:tcPr>
          <w:p w:rsidR="000A705B" w:rsidRPr="00763326" w:rsidRDefault="000A705B" w:rsidP="007343DE">
            <w:pPr>
              <w:ind w:left="57" w:right="57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0A705B" w:rsidRPr="00763326" w:rsidRDefault="00D7309A" w:rsidP="0044642A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0A705B" w:rsidRPr="00763326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0A705B" w:rsidRPr="00763326" w:rsidRDefault="000A705B" w:rsidP="0044642A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0A705B" w:rsidRPr="00763326" w:rsidTr="009E20A1">
        <w:tc>
          <w:tcPr>
            <w:tcW w:w="5117" w:type="dxa"/>
          </w:tcPr>
          <w:p w:rsidR="000A705B" w:rsidRPr="00763326" w:rsidRDefault="000A705B" w:rsidP="007343DE">
            <w:pPr>
              <w:ind w:left="57" w:right="57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0A705B" w:rsidRPr="00763326" w:rsidRDefault="00D7309A" w:rsidP="0044642A">
            <w:pPr>
              <w:keepNext/>
              <w:spacing w:before="240" w:after="60"/>
              <w:ind w:left="57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/>
                <w:bCs/>
                <w:i/>
                <w:iCs/>
                <w:sz w:val="22"/>
                <w:szCs w:val="22"/>
              </w:rPr>
              <w:t>П</w:t>
            </w:r>
            <w:r w:rsidR="000A705B" w:rsidRPr="00763326">
              <w:rPr>
                <w:b/>
                <w:bCs/>
                <w:i/>
                <w:iCs/>
                <w:sz w:val="22"/>
                <w:szCs w:val="22"/>
              </w:rPr>
              <w:t>АО «РУСАЛ Братск»</w:t>
            </w:r>
          </w:p>
        </w:tc>
      </w:tr>
      <w:tr w:rsidR="000A705B" w:rsidRPr="00763326" w:rsidTr="009E20A1">
        <w:tc>
          <w:tcPr>
            <w:tcW w:w="5117" w:type="dxa"/>
          </w:tcPr>
          <w:p w:rsidR="000A705B" w:rsidRPr="00763326" w:rsidRDefault="000A705B" w:rsidP="007343DE">
            <w:pPr>
              <w:ind w:left="57" w:right="57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0A705B" w:rsidRPr="00763326" w:rsidRDefault="000A705B" w:rsidP="0044642A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0A705B" w:rsidRPr="00763326" w:rsidTr="009E20A1">
        <w:tc>
          <w:tcPr>
            <w:tcW w:w="5117" w:type="dxa"/>
          </w:tcPr>
          <w:p w:rsidR="000A705B" w:rsidRPr="00763326" w:rsidRDefault="000A705B" w:rsidP="007343DE">
            <w:pPr>
              <w:ind w:left="57" w:right="57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117" w:type="dxa"/>
          </w:tcPr>
          <w:p w:rsidR="000A705B" w:rsidRPr="00763326" w:rsidRDefault="000A705B" w:rsidP="0044642A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0A705B" w:rsidRPr="00763326" w:rsidTr="009E20A1">
        <w:tc>
          <w:tcPr>
            <w:tcW w:w="5117" w:type="dxa"/>
          </w:tcPr>
          <w:p w:rsidR="000A705B" w:rsidRPr="00763326" w:rsidRDefault="000A705B" w:rsidP="007343DE">
            <w:pPr>
              <w:ind w:left="57" w:right="57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117" w:type="dxa"/>
          </w:tcPr>
          <w:p w:rsidR="000A705B" w:rsidRPr="00763326" w:rsidRDefault="000A705B" w:rsidP="0044642A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0A705B" w:rsidRPr="00763326" w:rsidTr="009E20A1">
        <w:tc>
          <w:tcPr>
            <w:tcW w:w="5117" w:type="dxa"/>
          </w:tcPr>
          <w:p w:rsidR="000A705B" w:rsidRPr="00763326" w:rsidRDefault="000A705B" w:rsidP="007343DE">
            <w:pPr>
              <w:ind w:left="57" w:right="57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0A705B" w:rsidRPr="00763326" w:rsidRDefault="000A705B" w:rsidP="0044642A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0A705B" w:rsidRPr="00763326" w:rsidTr="009E20A1">
        <w:tc>
          <w:tcPr>
            <w:tcW w:w="5117" w:type="dxa"/>
          </w:tcPr>
          <w:p w:rsidR="000A705B" w:rsidRPr="00763326" w:rsidRDefault="000A705B" w:rsidP="007343DE">
            <w:pPr>
              <w:ind w:left="57" w:right="57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0A705B" w:rsidRPr="00763326" w:rsidRDefault="00C25859" w:rsidP="0044642A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3F3552" w:rsidRPr="00763326">
                <w:rPr>
                  <w:rStyle w:val="ac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3F3552" w:rsidRPr="00763326">
              <w:rPr>
                <w:b/>
                <w:i/>
                <w:sz w:val="22"/>
                <w:szCs w:val="22"/>
              </w:rPr>
              <w:t xml:space="preserve">, </w:t>
            </w:r>
            <w:hyperlink r:id="rId9" w:history="1">
              <w:r w:rsidR="003F3552" w:rsidRPr="00763326">
                <w:rPr>
                  <w:rStyle w:val="ac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E8442E" w:rsidRPr="00763326" w:rsidTr="000678B1">
        <w:tc>
          <w:tcPr>
            <w:tcW w:w="5117" w:type="dxa"/>
          </w:tcPr>
          <w:p w:rsidR="00E8442E" w:rsidRPr="00763326" w:rsidRDefault="0044642A" w:rsidP="007343DE">
            <w:pPr>
              <w:ind w:left="57" w:right="57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vAlign w:val="center"/>
          </w:tcPr>
          <w:p w:rsidR="00E8442E" w:rsidRPr="00763326" w:rsidRDefault="00DE1162" w:rsidP="00000BE7">
            <w:pPr>
              <w:ind w:left="57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  <w:lang w:val="en-US"/>
              </w:rPr>
              <w:t xml:space="preserve">28 </w:t>
            </w:r>
            <w:r w:rsidR="00BD07D1" w:rsidRPr="00763326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187F3B" w:rsidRPr="00763326">
              <w:rPr>
                <w:b/>
                <w:i/>
                <w:sz w:val="22"/>
                <w:szCs w:val="22"/>
              </w:rPr>
              <w:t>января</w:t>
            </w:r>
            <w:r w:rsidR="00E62363" w:rsidRPr="00763326">
              <w:rPr>
                <w:b/>
                <w:i/>
                <w:sz w:val="22"/>
                <w:szCs w:val="22"/>
              </w:rPr>
              <w:t xml:space="preserve"> </w:t>
            </w:r>
            <w:r w:rsidR="00E62363" w:rsidRPr="00763326">
              <w:rPr>
                <w:b/>
                <w:i/>
                <w:sz w:val="22"/>
                <w:szCs w:val="22"/>
                <w:lang w:val="en-US"/>
              </w:rPr>
              <w:t>20</w:t>
            </w:r>
            <w:r w:rsidR="002B1882" w:rsidRPr="00763326">
              <w:rPr>
                <w:b/>
                <w:i/>
                <w:sz w:val="22"/>
                <w:szCs w:val="22"/>
                <w:lang w:val="en-US"/>
              </w:rPr>
              <w:t>21</w:t>
            </w:r>
            <w:r w:rsidR="0044642A" w:rsidRPr="00763326">
              <w:rPr>
                <w:b/>
                <w:i/>
                <w:sz w:val="22"/>
                <w:szCs w:val="22"/>
                <w:lang w:val="en-US"/>
              </w:rPr>
              <w:t xml:space="preserve"> г.</w:t>
            </w:r>
          </w:p>
        </w:tc>
      </w:tr>
    </w:tbl>
    <w:p w:rsidR="000A705B" w:rsidRPr="00763326" w:rsidRDefault="000A705B">
      <w:pPr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0A705B" w:rsidRPr="00763326" w:rsidTr="009E20A1">
        <w:tc>
          <w:tcPr>
            <w:tcW w:w="10234" w:type="dxa"/>
          </w:tcPr>
          <w:p w:rsidR="000A705B" w:rsidRPr="00763326" w:rsidRDefault="000A705B">
            <w:pPr>
              <w:jc w:val="center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2. Содержание сообщения</w:t>
            </w:r>
          </w:p>
        </w:tc>
      </w:tr>
      <w:tr w:rsidR="000A705B" w:rsidRPr="00763326" w:rsidTr="009E20A1">
        <w:tc>
          <w:tcPr>
            <w:tcW w:w="10234" w:type="dxa"/>
          </w:tcPr>
          <w:p w:rsidR="00D33C1D" w:rsidRPr="00763326" w:rsidRDefault="00D33C1D" w:rsidP="009A7763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 xml:space="preserve">2.1. Вид организации, которая совершили существенную сделку: </w:t>
            </w:r>
            <w:r w:rsidRPr="00763326">
              <w:rPr>
                <w:b/>
                <w:i/>
                <w:sz w:val="22"/>
                <w:szCs w:val="22"/>
              </w:rPr>
              <w:t>эмитент.</w:t>
            </w:r>
          </w:p>
          <w:p w:rsidR="00D33C1D" w:rsidRPr="00763326" w:rsidRDefault="00D33C1D" w:rsidP="009A7763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 xml:space="preserve">2.2. Категория сделки: </w:t>
            </w:r>
            <w:r w:rsidR="00D9318F" w:rsidRPr="00763326">
              <w:rPr>
                <w:b/>
                <w:i/>
                <w:sz w:val="22"/>
                <w:szCs w:val="22"/>
              </w:rPr>
              <w:t>существенная</w:t>
            </w:r>
            <w:r w:rsidR="00966567" w:rsidRPr="00763326">
              <w:rPr>
                <w:b/>
                <w:i/>
                <w:sz w:val="22"/>
                <w:szCs w:val="22"/>
              </w:rPr>
              <w:t xml:space="preserve"> сделка, </w:t>
            </w:r>
            <w:r w:rsidR="00860F26" w:rsidRPr="00763326">
              <w:rPr>
                <w:b/>
                <w:i/>
                <w:sz w:val="22"/>
                <w:szCs w:val="22"/>
              </w:rPr>
              <w:t>которая одновременно является сделкой</w:t>
            </w:r>
            <w:r w:rsidR="00750DA5" w:rsidRPr="00763326">
              <w:rPr>
                <w:sz w:val="22"/>
                <w:szCs w:val="22"/>
              </w:rPr>
              <w:t xml:space="preserve">, </w:t>
            </w:r>
            <w:r w:rsidR="009C0F74" w:rsidRPr="00763326">
              <w:rPr>
                <w:b/>
                <w:i/>
                <w:sz w:val="22"/>
                <w:szCs w:val="22"/>
              </w:rPr>
              <w:t>в совершении которой имелась заинтересованность.</w:t>
            </w:r>
          </w:p>
          <w:p w:rsidR="00CD121A" w:rsidRPr="00763326" w:rsidRDefault="00D33C1D" w:rsidP="009A7763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 xml:space="preserve">2.3. </w:t>
            </w:r>
            <w:r w:rsidR="000A705B" w:rsidRPr="00763326">
              <w:rPr>
                <w:sz w:val="22"/>
                <w:szCs w:val="22"/>
              </w:rPr>
              <w:t>Вид и предмет сделки:</w:t>
            </w:r>
            <w:r w:rsidR="00D73EEE" w:rsidRPr="00763326">
              <w:rPr>
                <w:sz w:val="22"/>
                <w:szCs w:val="22"/>
              </w:rPr>
              <w:t xml:space="preserve"> </w:t>
            </w:r>
            <w:r w:rsidR="00463B7E" w:rsidRPr="00763326">
              <w:rPr>
                <w:b/>
                <w:i/>
                <w:sz w:val="22"/>
                <w:szCs w:val="22"/>
              </w:rPr>
              <w:t>Заключение договоров, соглашений и документов между, среди прочих, ПАО «РУСАЛ Братск» (далее – Общество)</w:t>
            </w:r>
            <w:r w:rsidR="00817A87" w:rsidRPr="00763326">
              <w:rPr>
                <w:b/>
                <w:i/>
                <w:sz w:val="22"/>
                <w:szCs w:val="22"/>
              </w:rPr>
              <w:t xml:space="preserve"> и иными Сторонами.</w:t>
            </w:r>
          </w:p>
          <w:p w:rsidR="000A705B" w:rsidRPr="00763326" w:rsidRDefault="000A705B" w:rsidP="007343DE">
            <w:pPr>
              <w:ind w:left="57" w:right="57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2.</w:t>
            </w:r>
            <w:r w:rsidR="00D33C1D" w:rsidRPr="00763326">
              <w:rPr>
                <w:sz w:val="22"/>
                <w:szCs w:val="22"/>
              </w:rPr>
              <w:t>4</w:t>
            </w:r>
            <w:r w:rsidRPr="00763326">
              <w:rPr>
                <w:sz w:val="22"/>
                <w:szCs w:val="22"/>
              </w:rPr>
              <w:t xml:space="preserve">. 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801943" w:rsidRPr="00763326" w:rsidRDefault="00FD61A9" w:rsidP="009A7763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763326">
              <w:rPr>
                <w:b/>
                <w:i/>
                <w:sz w:val="22"/>
                <w:szCs w:val="22"/>
              </w:rPr>
              <w:t>. Заключение и подписание следующих документов (далее – «Сделка»):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>1. Договор поручительства и гарантии возмещения потерь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Russian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Guarantee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договоре, основные условия которого изложены ниже) (путем подписания отдельного документа и/или включения соответствующего условия в Кредитный договор) (далее – «Договор поручительства»), подлежащий заключению между, среди прочих, Обществом, Акционерным обществом «РУСАЛ Красноярский Алюминиевый Завод» (далее – «АО «РУСАЛ Красноярск»), Акционерным обществом «РУСАЛ Новокузнецкий Алюминиевый Завод» (далее – «АО «РУСАЛ Новокузнецк»), Акционерным обществом «РУСАЛ Саяногорский Алюминиевый Завод» (далее – «АО «РУСАЛ Саяногорск»), Акционерным обществом «Объединенная компания РУСАЛ Уральский Алюминий» (далее – «АО «РУСАЛ Урал») и Акционерным обществом  «Объединенная компания РУСАЛ – Торговый Дом» (далее – «АО «ОК РУСАЛ ТД») в качестве Российских поручителей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Russian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Guarantor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» в Кредитном договоре) и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Société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Générale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или его аффилированными лицами в качестве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Aгента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по кредиту и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Aгента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по обеспечению (как каждый из данных терминов определен ниже), в соответствии с положениями которого Общество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безотзывно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, безусловно и солидарно с другими Российскими поручителями гарантирует своевременное исполнение Обязанными лицами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Obligor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 обязательств по Финансовым документам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Finance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Documents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 и обязуется незамедлительно и по требованию оплатить любые суммы, должные и не уплаченные любым Обязанным лицом в отношении любого Финансового документа, а также предоставляет гарантию в отношении незамедлительного возмещения каждой Финансовой стороне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Finance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Parties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 любых издержек, убытков и размера ответственности, которые такая Финансовая сторона может понести в результате неуплаты причитающихся сумм Обязанным лицом по причине неисполнимости, недействительности или незаконности обязательств такого лица.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 xml:space="preserve">Сторонами и/или выгодоприобретателями по данному договору являются: Общество, Международная компания публичное акционерное общество «Объединённая Компания «РУСАЛ»» (далее – «МКПАО «ОК РУСАЛ»), Акционерное общество «РУССКИЙ АЛЮМИНИЙ» (далее – «АО «РУСАЛ»), АО «РУСАЛ Красноярск», </w:t>
            </w:r>
            <w:proofErr w:type="gramStart"/>
            <w:r w:rsidRPr="00763326">
              <w:rPr>
                <w:b/>
                <w:i/>
                <w:sz w:val="22"/>
                <w:szCs w:val="22"/>
              </w:rPr>
              <w:t>АО  «</w:t>
            </w:r>
            <w:proofErr w:type="gramEnd"/>
            <w:r w:rsidRPr="00763326">
              <w:rPr>
                <w:b/>
                <w:i/>
                <w:sz w:val="22"/>
                <w:szCs w:val="22"/>
              </w:rPr>
              <w:t xml:space="preserve">РУСАЛ Новокузнецк», АО  «РУСАЛ Саяногорск», АО  «РУСАЛ Урал» и АО «ОК РУСАЛ ТД», RTI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Limited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, RS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International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, Rusal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Marketing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, Финансовые стороны.</w:t>
            </w:r>
          </w:p>
          <w:p w:rsidR="00595EF4" w:rsidRPr="00763326" w:rsidRDefault="00595EF4" w:rsidP="00595EF4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lastRenderedPageBreak/>
              <w:t>2. Иные договоры, соглашения и документы, которые могут быть заключены в связи с предоставлением кредита по Кредитному договору, предусмотренные Кредитным договором, указанными выше документами и/или оформляемые и/или совершаемые Обществом в связи с Кредитным договором и указанными выше документами.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 xml:space="preserve">II. Для целей настоящего согласия под Кредитным договором понимается Договор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предэкспортного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финансирования между, среди прочих лиц, МКПАО «ОК РУСАЛ» в качестве заемщика,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Société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Générale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или его аффилированными лицами в качестве агента по кредиту и агента по обеспечению (или иными лицами, которые могут стать агентом по кредиту или агентом по обеспечению в соответствии с условиями Кредитного договора) (далее – «Агент по кредиту» и «Агент по обеспечению»), а также поименованными в договоре Кредиторами на следующих условиях: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>а) Общая сумма кредита: не более 200 000 000 (двухсот миллионов) долларов США, которая может состоять из одного или нескольких траншей в сумме, определяемой в соответствии с Кредитным договором.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>б) Период доступности кредита: в течение 30 Рабочих дней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Business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Days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 c даты выполнения всех соответствующих условий, предусмотренных Кредитным договором (как предусмотрено в определении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Financial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Closing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Date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договоре), за исключением случаев предоставления денежных средств Дополнительными кредиторами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Additional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Lender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договоре), когда Период доступности кредита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Availability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Period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 составит срок, оканчивающийся в наиболее раннюю из дат: (i) 10 Рабочих дней с Даты вступления в силу обязательств Дополнительного кредитора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Additional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Lender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Effective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Date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 и (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ii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) 28 февраля 2021 года.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 xml:space="preserve">в) Использование кредита: частичное или полное рефинансирование задолженности, включая пополнение собственных средств МКПАО «ОК РУСАЛ» и/или компаний группы МКПАО «ОК РУСАЛ», использованных на погашение, по кредитному соглашению на сумму US$200 млн. от 29 января 2018 года между, среди прочих, МКПАО «ОК РУСАЛ» в качестве заемщика, и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Nordea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Bank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Abp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filial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i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Sverige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в качестве кредитора, с изменениями и дополнениями, и после – погашение иных сумм основного долга по Финансовой Задолженности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Financial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Indebtedness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 компаний группы МКПАО «ОК РУСАЛ».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>г) Окончательный срок погашения: окончательный срок погашения наступает спустя 36 месяцев с даты первой Выборки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Utilisation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договоре).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>д) Порядок погашения: 8 (восемью) равными платежами, подлежащими уплате в соответствующую Запланированную дату погашения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Scheduled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Repayment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Date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договоре), первая из которых наступает в последний Рабочий день 15 календарного месяца, следующего за календарным месяцем, в котором была произведена первая Выборка.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 xml:space="preserve">е) Процентная ставка: представляет совокупность следующих элементов:  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>i. Маржи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Margin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договоре), составляющей величину не более 2% (двух процентов) годовых и подлежащей изменению в соответствии с условиями Кредитного договора; и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763326">
              <w:rPr>
                <w:b/>
                <w:i/>
                <w:sz w:val="22"/>
                <w:szCs w:val="22"/>
              </w:rPr>
              <w:t>ii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. ставки LIBOR (в соответствии с определением термина «LIBOR» в Кредитном договоре).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>ж) Корректировка маржи на основе показателей устойчивого развития: Маржа подлежит корректировке на основании Дисконта, основанного на показателях устойчивого развития группы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Sustainability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Discount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договоре), или на основании Премии, основанной на показателях устойчивого развития группы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Sustainability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Premium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договоре).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>з) Процентный период: если иное не предусмотрено в Кредитном договоре, Процентный период (в соответствии с определением термина «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Interest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3326">
              <w:rPr>
                <w:b/>
                <w:i/>
                <w:sz w:val="22"/>
                <w:szCs w:val="22"/>
              </w:rPr>
              <w:t>Period</w:t>
            </w:r>
            <w:proofErr w:type="spellEnd"/>
            <w:r w:rsidRPr="00763326">
              <w:rPr>
                <w:b/>
                <w:i/>
                <w:sz w:val="22"/>
                <w:szCs w:val="22"/>
              </w:rPr>
              <w:t>» в Кредитном договоре) составляет три месяца.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>и) Порядок выплаты процентов: проценты подлежат уплате в последний день каждого из Процентных периодов.</w:t>
            </w:r>
          </w:p>
          <w:p w:rsidR="00595EF4" w:rsidRPr="00763326" w:rsidRDefault="00595EF4" w:rsidP="00595EF4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>к) Неустойка: дополнительно 2% (два процента) годовых к размеру Процентной ставки в отношении всех причитающихся, но не выплаченных сумм по Кредитному договору.</w:t>
            </w:r>
          </w:p>
          <w:p w:rsidR="00595EF4" w:rsidRPr="00763326" w:rsidRDefault="00595EF4" w:rsidP="00595EF4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b/>
                <w:i/>
                <w:sz w:val="22"/>
                <w:szCs w:val="22"/>
              </w:rPr>
              <w:t>л) Иные суммы, уплачиваемые или подлежащие уплате в соответствии с Кредитным договором или в связи с ним.</w:t>
            </w:r>
          </w:p>
          <w:p w:rsidR="00750DA5" w:rsidRPr="00763326" w:rsidRDefault="00EE1ACA" w:rsidP="007343DE">
            <w:pPr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2.</w:t>
            </w:r>
            <w:r w:rsidR="00D33C1D" w:rsidRPr="00763326">
              <w:rPr>
                <w:sz w:val="22"/>
                <w:szCs w:val="22"/>
              </w:rPr>
              <w:t>5</w:t>
            </w:r>
            <w:r w:rsidRPr="00763326">
              <w:rPr>
                <w:sz w:val="22"/>
                <w:szCs w:val="22"/>
              </w:rPr>
              <w:t>. </w:t>
            </w:r>
            <w:r w:rsidR="00750DA5" w:rsidRPr="00763326">
              <w:rPr>
                <w:sz w:val="22"/>
                <w:szCs w:val="22"/>
              </w:rPr>
              <w:t>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</w:t>
            </w:r>
          </w:p>
          <w:p w:rsidR="00AC34AD" w:rsidRPr="00763326" w:rsidRDefault="00EE1ACA" w:rsidP="009A7763">
            <w:pPr>
              <w:autoSpaceDE/>
              <w:autoSpaceDN/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Срок исполнения обязательств по сделке:</w:t>
            </w:r>
            <w:r w:rsidR="00D9318F" w:rsidRPr="00763326">
              <w:rPr>
                <w:sz w:val="22"/>
                <w:szCs w:val="22"/>
              </w:rPr>
              <w:t xml:space="preserve"> </w:t>
            </w:r>
            <w:r w:rsidR="00D9318F" w:rsidRPr="00763326">
              <w:rPr>
                <w:b/>
                <w:i/>
                <w:sz w:val="22"/>
                <w:szCs w:val="22"/>
              </w:rPr>
              <w:t>окончательный срок погашения наступает спустя 36 месяцев с даты первой Выборки (в соответствии с определением термина «</w:t>
            </w:r>
            <w:proofErr w:type="spellStart"/>
            <w:r w:rsidR="00D9318F" w:rsidRPr="00763326">
              <w:rPr>
                <w:b/>
                <w:i/>
                <w:sz w:val="22"/>
                <w:szCs w:val="22"/>
              </w:rPr>
              <w:t>Utilisation</w:t>
            </w:r>
            <w:proofErr w:type="spellEnd"/>
            <w:r w:rsidR="00D9318F" w:rsidRPr="00763326">
              <w:rPr>
                <w:b/>
                <w:i/>
                <w:sz w:val="22"/>
                <w:szCs w:val="22"/>
              </w:rPr>
              <w:t>» в Кредитном договоре).</w:t>
            </w:r>
          </w:p>
          <w:p w:rsidR="002B1882" w:rsidRPr="00763326" w:rsidRDefault="00EE1ACA" w:rsidP="00463B7E">
            <w:pPr>
              <w:pStyle w:val="ab"/>
              <w:spacing w:after="120"/>
              <w:ind w:left="57" w:right="57"/>
              <w:rPr>
                <w:b/>
                <w:bCs/>
                <w:i/>
                <w:iCs/>
              </w:rPr>
            </w:pPr>
            <w:r w:rsidRPr="00763326">
              <w:rPr>
                <w:bCs/>
                <w:iCs/>
              </w:rPr>
              <w:lastRenderedPageBreak/>
              <w:t xml:space="preserve">Стороны </w:t>
            </w:r>
            <w:r w:rsidR="0044642A" w:rsidRPr="00763326">
              <w:rPr>
                <w:bCs/>
                <w:iCs/>
              </w:rPr>
              <w:t>и/или выгодоприобретатели по</w:t>
            </w:r>
            <w:r w:rsidR="00D9318F" w:rsidRPr="00763326">
              <w:rPr>
                <w:bCs/>
                <w:iCs/>
              </w:rPr>
              <w:t xml:space="preserve"> Договору поручительства и гарантии возмещения потерь</w:t>
            </w:r>
            <w:r w:rsidRPr="00763326">
              <w:rPr>
                <w:bCs/>
                <w:iCs/>
              </w:rPr>
              <w:t>:</w:t>
            </w:r>
            <w:r w:rsidRPr="00763326">
              <w:rPr>
                <w:b/>
                <w:bCs/>
                <w:i/>
                <w:iCs/>
              </w:rPr>
              <w:t xml:space="preserve"> </w:t>
            </w:r>
            <w:r w:rsidR="002B1882" w:rsidRPr="00763326">
              <w:rPr>
                <w:b/>
                <w:bCs/>
                <w:i/>
                <w:iCs/>
              </w:rPr>
              <w:t xml:space="preserve">Общество, Международная компания публичное акционерное общество «Объединённая Компания «РУСАЛ»» (далее – «МКПАО «ОК РУСАЛ»), Акционерное общество «РУССКИЙ АЛЮМИНИЙ» (далее – АО «РУСАЛ»), </w:t>
            </w:r>
            <w:r w:rsidR="004B25F4" w:rsidRPr="00763326">
              <w:rPr>
                <w:b/>
                <w:bCs/>
                <w:i/>
                <w:iCs/>
              </w:rPr>
              <w:t xml:space="preserve">АО «РУСАЛ Красноярск», АО </w:t>
            </w:r>
            <w:r w:rsidR="007F6B7A" w:rsidRPr="00763326">
              <w:rPr>
                <w:b/>
                <w:bCs/>
                <w:i/>
                <w:iCs/>
              </w:rPr>
              <w:t xml:space="preserve">«РУСАЛ Новокузнецк», АО </w:t>
            </w:r>
            <w:r w:rsidR="002B1882" w:rsidRPr="00763326">
              <w:rPr>
                <w:b/>
                <w:bCs/>
                <w:i/>
                <w:iCs/>
              </w:rPr>
              <w:t xml:space="preserve">«РУСАЛ Саяногорск», АО «РУСАЛ Урал» и АО «ОК РУСАЛ ТД», RTI </w:t>
            </w:r>
            <w:proofErr w:type="spellStart"/>
            <w:r w:rsidR="002B1882" w:rsidRPr="00763326">
              <w:rPr>
                <w:b/>
                <w:bCs/>
                <w:i/>
                <w:iCs/>
              </w:rPr>
              <w:t>Limited</w:t>
            </w:r>
            <w:proofErr w:type="spellEnd"/>
            <w:r w:rsidR="002B1882" w:rsidRPr="00763326">
              <w:rPr>
                <w:b/>
                <w:bCs/>
                <w:i/>
                <w:iCs/>
              </w:rPr>
              <w:t xml:space="preserve">, RS </w:t>
            </w:r>
            <w:proofErr w:type="spellStart"/>
            <w:r w:rsidR="002B1882" w:rsidRPr="00763326">
              <w:rPr>
                <w:b/>
                <w:bCs/>
                <w:i/>
                <w:iCs/>
              </w:rPr>
              <w:t>International</w:t>
            </w:r>
            <w:proofErr w:type="spellEnd"/>
            <w:r w:rsidR="002B1882" w:rsidRPr="0076332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2B1882" w:rsidRPr="00763326">
              <w:rPr>
                <w:b/>
                <w:bCs/>
                <w:i/>
                <w:iCs/>
              </w:rPr>
              <w:t>GmbH</w:t>
            </w:r>
            <w:proofErr w:type="spellEnd"/>
            <w:r w:rsidR="002B1882" w:rsidRPr="00763326">
              <w:rPr>
                <w:b/>
                <w:bCs/>
                <w:i/>
                <w:iCs/>
              </w:rPr>
              <w:t xml:space="preserve">, Rusal </w:t>
            </w:r>
            <w:proofErr w:type="spellStart"/>
            <w:r w:rsidR="002B1882" w:rsidRPr="00763326">
              <w:rPr>
                <w:b/>
                <w:bCs/>
                <w:i/>
                <w:iCs/>
              </w:rPr>
              <w:t>Marketing</w:t>
            </w:r>
            <w:proofErr w:type="spellEnd"/>
            <w:r w:rsidR="002B1882" w:rsidRPr="0076332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2B1882" w:rsidRPr="00763326">
              <w:rPr>
                <w:b/>
                <w:bCs/>
                <w:i/>
                <w:iCs/>
              </w:rPr>
              <w:t>GmbH</w:t>
            </w:r>
            <w:proofErr w:type="spellEnd"/>
            <w:r w:rsidR="002B1882" w:rsidRPr="00763326">
              <w:rPr>
                <w:b/>
                <w:bCs/>
                <w:i/>
                <w:iCs/>
              </w:rPr>
              <w:t xml:space="preserve">, Финансовые стороны. </w:t>
            </w:r>
          </w:p>
          <w:p w:rsidR="0074778E" w:rsidRPr="0074778E" w:rsidRDefault="0074778E" w:rsidP="0074778E">
            <w:pPr>
              <w:pStyle w:val="ab"/>
              <w:spacing w:after="60"/>
              <w:ind w:left="57" w:right="57"/>
              <w:rPr>
                <w:rFonts w:eastAsia="SimSun"/>
                <w:b/>
                <w:i/>
                <w:lang w:eastAsia="en-US"/>
              </w:rPr>
            </w:pPr>
            <w:r w:rsidRPr="00460953">
              <w:rPr>
                <w:bCs/>
                <w:iCs/>
              </w:rPr>
              <w:t>Размер сделки</w:t>
            </w:r>
            <w:r w:rsidRPr="00460953">
              <w:t xml:space="preserve"> в денежном выражении и в процентах от стоимости активов эмитента</w:t>
            </w:r>
            <w:r w:rsidRPr="00460953">
              <w:rPr>
                <w:bCs/>
                <w:iCs/>
              </w:rPr>
              <w:t xml:space="preserve">: </w:t>
            </w:r>
            <w:r w:rsidRPr="00460953">
              <w:rPr>
                <w:rFonts w:eastAsia="SimSun"/>
                <w:b/>
                <w:i/>
                <w:lang w:eastAsia="en-US"/>
              </w:rPr>
              <w:t>212 498 881,94</w:t>
            </w:r>
            <w:r w:rsidRPr="00460953">
              <w:rPr>
                <w:b/>
                <w:bCs/>
                <w:color w:val="FF0000"/>
              </w:rPr>
              <w:t xml:space="preserve"> </w:t>
            </w:r>
            <w:r w:rsidRPr="00460953">
              <w:rPr>
                <w:b/>
                <w:bCs/>
                <w:i/>
                <w:iCs/>
              </w:rPr>
              <w:t>(Двести двенадцать миллионов четыреста девяносто восемь тысяч восемьсот восемьдесят один 94/100)</w:t>
            </w:r>
            <w:r w:rsidRPr="00460953">
              <w:rPr>
                <w:bCs/>
                <w:iCs/>
              </w:rPr>
              <w:t xml:space="preserve"> </w:t>
            </w:r>
            <w:r w:rsidRPr="00460953">
              <w:rPr>
                <w:b/>
                <w:bCs/>
                <w:i/>
                <w:iCs/>
              </w:rPr>
              <w:t>долларов США</w:t>
            </w:r>
            <w:r w:rsidRPr="00460953">
              <w:rPr>
                <w:bCs/>
                <w:iCs/>
              </w:rPr>
              <w:t xml:space="preserve"> </w:t>
            </w:r>
            <w:r w:rsidRPr="00460953">
              <w:rPr>
                <w:rFonts w:eastAsia="SimSun"/>
                <w:b/>
                <w:i/>
                <w:lang w:eastAsia="en-US"/>
              </w:rPr>
              <w:t xml:space="preserve">или </w:t>
            </w:r>
            <w:r w:rsidRPr="0074778E">
              <w:rPr>
                <w:rFonts w:eastAsia="SimSun"/>
                <w:b/>
                <w:i/>
                <w:lang w:eastAsia="en-US"/>
              </w:rPr>
              <w:t>14,61 % от стоимости активов эмитента.</w:t>
            </w:r>
          </w:p>
          <w:p w:rsidR="0074778E" w:rsidRDefault="0074778E" w:rsidP="0074778E">
            <w:pPr>
              <w:spacing w:after="60"/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74778E">
              <w:rPr>
                <w:sz w:val="22"/>
                <w:szCs w:val="22"/>
              </w:rPr>
              <w:t xml:space="preserve">2.6. Стоимость активов эмитента на дату окончания отчетного периода (квартала, года), предшествующего совершению сделки (дате заключения договора) и </w:t>
            </w:r>
            <w:proofErr w:type="gramStart"/>
            <w:r w:rsidRPr="0074778E">
              <w:rPr>
                <w:sz w:val="22"/>
                <w:szCs w:val="22"/>
              </w:rPr>
              <w:t>в отношении</w:t>
            </w:r>
            <w:proofErr w:type="gramEnd"/>
            <w:r w:rsidRPr="0074778E">
              <w:rPr>
                <w:sz w:val="22"/>
                <w:szCs w:val="22"/>
              </w:rPr>
              <w:t xml:space="preserve"> которого составлена бухгалтерская отчетность в соответствии с законодательством Российской Федерации: </w:t>
            </w:r>
            <w:r w:rsidRPr="0074778E">
              <w:rPr>
                <w:b/>
                <w:i/>
                <w:sz w:val="24"/>
                <w:szCs w:val="24"/>
              </w:rPr>
              <w:t>по состоянию на 30.09.2020 г. – 109 118 057 298 руб.</w:t>
            </w:r>
            <w:bookmarkStart w:id="0" w:name="_GoBack"/>
            <w:bookmarkEnd w:id="0"/>
          </w:p>
          <w:p w:rsidR="000A705B" w:rsidRPr="00763326" w:rsidRDefault="000A705B" w:rsidP="009A7763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2.</w:t>
            </w:r>
            <w:r w:rsidR="00D33C1D" w:rsidRPr="00763326">
              <w:rPr>
                <w:sz w:val="22"/>
                <w:szCs w:val="22"/>
              </w:rPr>
              <w:t>7</w:t>
            </w:r>
            <w:r w:rsidRPr="00763326">
              <w:rPr>
                <w:sz w:val="22"/>
                <w:szCs w:val="22"/>
              </w:rPr>
              <w:t xml:space="preserve">. Дата совершения сделки (заключения договора): </w:t>
            </w:r>
            <w:r w:rsidR="00DE1162" w:rsidRPr="00763326">
              <w:rPr>
                <w:b/>
                <w:i/>
                <w:sz w:val="22"/>
                <w:szCs w:val="22"/>
              </w:rPr>
              <w:t>28</w:t>
            </w:r>
            <w:r w:rsidR="00187F3B" w:rsidRPr="00763326">
              <w:rPr>
                <w:b/>
                <w:i/>
                <w:sz w:val="22"/>
                <w:szCs w:val="22"/>
              </w:rPr>
              <w:t xml:space="preserve"> января </w:t>
            </w:r>
            <w:r w:rsidR="00AC34AD" w:rsidRPr="00763326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="002B1882" w:rsidRPr="00763326">
              <w:rPr>
                <w:b/>
                <w:bCs/>
                <w:i/>
                <w:iCs/>
                <w:sz w:val="22"/>
                <w:szCs w:val="22"/>
              </w:rPr>
              <w:t>21</w:t>
            </w:r>
            <w:r w:rsidR="00AA51D0"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C34AD" w:rsidRPr="00763326">
              <w:rPr>
                <w:b/>
                <w:bCs/>
                <w:i/>
                <w:iCs/>
                <w:sz w:val="22"/>
                <w:szCs w:val="22"/>
              </w:rPr>
              <w:t>г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625D37" w:rsidRPr="00763326" w:rsidRDefault="00625D37" w:rsidP="009A7763">
            <w:pPr>
              <w:spacing w:after="60"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2.8. Полное и сокращенное фирменные наименования (для 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заинтересованному лицу акций) эмитента и юридического лица, являющегося стороной в сделке:</w:t>
            </w:r>
          </w:p>
          <w:p w:rsidR="00625D37" w:rsidRPr="00763326" w:rsidRDefault="00625D37" w:rsidP="009A7763">
            <w:pPr>
              <w:spacing w:after="60"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Заинтересованные лица:</w:t>
            </w:r>
          </w:p>
          <w:p w:rsidR="002B1882" w:rsidRPr="00763326" w:rsidRDefault="00625D37" w:rsidP="002B1882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/>
                <w:bCs/>
                <w:i/>
                <w:iCs/>
                <w:sz w:val="22"/>
                <w:szCs w:val="22"/>
              </w:rPr>
              <w:t>а)</w:t>
            </w:r>
            <w:r w:rsidR="002B1882" w:rsidRPr="00763326">
              <w:t xml:space="preserve"> </w:t>
            </w:r>
            <w:r w:rsidR="002B1882" w:rsidRPr="00763326">
              <w:rPr>
                <w:b/>
                <w:bCs/>
                <w:i/>
                <w:iCs/>
                <w:sz w:val="22"/>
                <w:szCs w:val="22"/>
              </w:rPr>
              <w:t>Акционерное общество «РУССКИЙ АЛЮМИНИЙ».</w:t>
            </w:r>
          </w:p>
          <w:p w:rsidR="002B1882" w:rsidRPr="00763326" w:rsidRDefault="002B1882" w:rsidP="002B1882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Место нахождения: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 xml:space="preserve"> Российская Федерация, 121096, г. Москва, ул. Василисы Кожиной, д.1, этаж 2, помещение 24.</w:t>
            </w:r>
          </w:p>
          <w:p w:rsidR="004B25F4" w:rsidRPr="00763326" w:rsidRDefault="002B1882" w:rsidP="002B1882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Основание заинтересованности: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лицо является контролирующим лицом Общества и выгодоприобретателем по Сделке, а также контролирующим лицом АО «РУСАЛ Красноярск», </w:t>
            </w:r>
            <w:proofErr w:type="gramStart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АО  «</w:t>
            </w:r>
            <w:proofErr w:type="gramEnd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РУСАЛ Новокузнецк», </w:t>
            </w:r>
            <w:r w:rsidR="007F6B7A" w:rsidRPr="00763326">
              <w:rPr>
                <w:b/>
                <w:bCs/>
                <w:i/>
                <w:iCs/>
                <w:sz w:val="22"/>
                <w:szCs w:val="22"/>
              </w:rPr>
              <w:t>АО «РУСАЛ Саяногорск», АО</w:t>
            </w:r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 «РУСАЛ Урал» и АО «ОК РУСАЛ ТД», также являющихся сторонами/выгодоприобретателями по Сделке.</w:t>
            </w:r>
          </w:p>
          <w:p w:rsidR="002B1882" w:rsidRPr="00763326" w:rsidRDefault="002B1882" w:rsidP="002B1882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Доля участия заинтересованного лица в уставном капитале (доля принадлежащих заинтересованному лицу акций) Общества на дату совершения сделки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 xml:space="preserve"> – </w:t>
            </w:r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10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>0%.</w:t>
            </w:r>
          </w:p>
          <w:p w:rsidR="002B1882" w:rsidRPr="00763326" w:rsidRDefault="002B1882" w:rsidP="009A7763">
            <w:pPr>
              <w:spacing w:after="6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принадлежавших </w:t>
            </w:r>
            <w:proofErr w:type="gramStart"/>
            <w:r w:rsidRPr="00763326">
              <w:rPr>
                <w:bCs/>
                <w:iCs/>
                <w:sz w:val="22"/>
                <w:szCs w:val="22"/>
              </w:rPr>
              <w:t>заинтересованному  лицу</w:t>
            </w:r>
            <w:proofErr w:type="gramEnd"/>
            <w:r w:rsidRPr="00763326">
              <w:rPr>
                <w:bCs/>
                <w:iCs/>
                <w:sz w:val="22"/>
                <w:szCs w:val="22"/>
              </w:rPr>
              <w:t xml:space="preserve"> акций) юридического лица, являвшегося стороной в сделке на дату совершения сделки</w:t>
            </w:r>
            <w:r w:rsidR="004B25F4" w:rsidRPr="00763326">
              <w:rPr>
                <w:bCs/>
                <w:iCs/>
                <w:sz w:val="22"/>
                <w:szCs w:val="22"/>
              </w:rPr>
              <w:t xml:space="preserve">: АО «РУСАЛ Красноярск», АО «РУСАЛ Новокузнецк», АО  «РУСАЛ Саяногорск», АО «РУСАЛ Урал» и АО «ОК РУСАЛ ТД» – </w:t>
            </w:r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100%</w:t>
            </w:r>
            <w:r w:rsidR="004B25F4" w:rsidRPr="00763326">
              <w:rPr>
                <w:bCs/>
                <w:iCs/>
                <w:sz w:val="22"/>
                <w:szCs w:val="22"/>
              </w:rPr>
              <w:t>, иные стороны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 xml:space="preserve">  – 0%.</w:t>
            </w:r>
          </w:p>
          <w:p w:rsidR="00625D37" w:rsidRPr="00763326" w:rsidRDefault="004B25F4" w:rsidP="007343DE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/>
                <w:bCs/>
                <w:i/>
                <w:iCs/>
                <w:sz w:val="22"/>
                <w:szCs w:val="22"/>
              </w:rPr>
              <w:t>б)</w:t>
            </w:r>
            <w:r w:rsidR="00625D37"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E354D" w:rsidRPr="00763326">
              <w:rPr>
                <w:b/>
                <w:bCs/>
                <w:i/>
                <w:iCs/>
                <w:sz w:val="22"/>
                <w:szCs w:val="22"/>
              </w:rPr>
              <w:t>МКПАО «ОК РУСАЛ».</w:t>
            </w:r>
          </w:p>
          <w:p w:rsidR="00625D37" w:rsidRPr="00763326" w:rsidRDefault="00625D37" w:rsidP="002C5BBA">
            <w:pPr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Место нахождения:</w:t>
            </w:r>
            <w:r w:rsidR="00861F73"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E354D" w:rsidRPr="00763326">
              <w:rPr>
                <w:b/>
                <w:bCs/>
                <w:i/>
                <w:iCs/>
                <w:sz w:val="22"/>
                <w:szCs w:val="22"/>
              </w:rPr>
              <w:t>236006, Калининградская область, город Калининград, улица Октябрьская, дом 8, офис 410</w:t>
            </w:r>
          </w:p>
          <w:p w:rsidR="004C4869" w:rsidRPr="00763326" w:rsidRDefault="00625D37" w:rsidP="007343DE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Основание заинтересованности:</w:t>
            </w:r>
            <w:r w:rsidR="004B25F4" w:rsidRPr="00763326">
              <w:rPr>
                <w:bCs/>
                <w:iCs/>
                <w:sz w:val="22"/>
                <w:szCs w:val="22"/>
              </w:rPr>
              <w:t xml:space="preserve"> </w:t>
            </w:r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лицо является контролирующим лицом Общества и стороной/выгодоприобретателем по Сделке, а также контролирующим </w:t>
            </w:r>
            <w:r w:rsidR="007F6B7A" w:rsidRPr="00763326">
              <w:rPr>
                <w:b/>
                <w:bCs/>
                <w:i/>
                <w:iCs/>
                <w:sz w:val="22"/>
                <w:szCs w:val="22"/>
              </w:rPr>
              <w:t>лицом АО «РУСАЛ Красноярск», АО «РУСАЛ Новокузнецк», АО</w:t>
            </w:r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 «РУСАЛ Саяногорск</w:t>
            </w:r>
            <w:r w:rsidR="007F6B7A" w:rsidRPr="00763326">
              <w:rPr>
                <w:b/>
                <w:bCs/>
                <w:i/>
                <w:iCs/>
                <w:sz w:val="22"/>
                <w:szCs w:val="22"/>
              </w:rPr>
              <w:t xml:space="preserve">», АО </w:t>
            </w:r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«РУСАЛ Урал», АО «РУСАЛ</w:t>
            </w:r>
            <w:proofErr w:type="gramStart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»,  АО</w:t>
            </w:r>
            <w:proofErr w:type="gramEnd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 «ОК РУСАЛ ТД», RTI </w:t>
            </w:r>
            <w:proofErr w:type="spellStart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Limited</w:t>
            </w:r>
            <w:proofErr w:type="spellEnd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, RS </w:t>
            </w:r>
            <w:proofErr w:type="spellStart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International</w:t>
            </w:r>
            <w:proofErr w:type="spellEnd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GmbH</w:t>
            </w:r>
            <w:proofErr w:type="spellEnd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, Rusal </w:t>
            </w:r>
            <w:proofErr w:type="spellStart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Marketing</w:t>
            </w:r>
            <w:proofErr w:type="spellEnd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GmbH</w:t>
            </w:r>
            <w:proofErr w:type="spellEnd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, являющихся сторонами и/или выгодоприобретателями по Сделке.</w:t>
            </w:r>
          </w:p>
          <w:p w:rsidR="00625D37" w:rsidRPr="00763326" w:rsidRDefault="00625D37" w:rsidP="007343DE">
            <w:pPr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>0%</w:t>
            </w:r>
            <w:r w:rsidR="00155B51" w:rsidRPr="00763326">
              <w:rPr>
                <w:bCs/>
                <w:iCs/>
                <w:sz w:val="22"/>
                <w:szCs w:val="22"/>
              </w:rPr>
              <w:t>.</w:t>
            </w:r>
          </w:p>
          <w:p w:rsidR="00625D37" w:rsidRPr="00763326" w:rsidRDefault="00625D37" w:rsidP="009A7763">
            <w:pPr>
              <w:spacing w:after="6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принадлежавших </w:t>
            </w:r>
            <w:proofErr w:type="gramStart"/>
            <w:r w:rsidRPr="00763326">
              <w:rPr>
                <w:bCs/>
                <w:iCs/>
                <w:sz w:val="22"/>
                <w:szCs w:val="22"/>
              </w:rPr>
              <w:t>заинтересованному  лицу</w:t>
            </w:r>
            <w:proofErr w:type="gramEnd"/>
            <w:r w:rsidRPr="00763326">
              <w:rPr>
                <w:bCs/>
                <w:iCs/>
                <w:sz w:val="22"/>
                <w:szCs w:val="22"/>
              </w:rPr>
              <w:t xml:space="preserve"> акций) юридического лица, являвшегося стороной в сделке на дату совершения сделки</w:t>
            </w:r>
            <w:r w:rsidR="000F65CE" w:rsidRPr="00763326">
              <w:rPr>
                <w:bCs/>
                <w:iCs/>
                <w:sz w:val="22"/>
                <w:szCs w:val="22"/>
              </w:rPr>
              <w:t xml:space="preserve">: АО «РУСАЛ» – </w:t>
            </w:r>
            <w:r w:rsidR="000F65CE" w:rsidRPr="00763326">
              <w:rPr>
                <w:b/>
                <w:bCs/>
                <w:i/>
                <w:iCs/>
                <w:sz w:val="22"/>
                <w:szCs w:val="22"/>
              </w:rPr>
              <w:t>99,99999%</w:t>
            </w:r>
            <w:r w:rsidR="000F65CE" w:rsidRPr="00763326">
              <w:rPr>
                <w:bCs/>
                <w:iCs/>
                <w:sz w:val="22"/>
                <w:szCs w:val="22"/>
              </w:rPr>
              <w:t>, иные стороны</w:t>
            </w:r>
            <w:r w:rsidRPr="00763326">
              <w:rPr>
                <w:bCs/>
                <w:iCs/>
                <w:sz w:val="22"/>
                <w:szCs w:val="22"/>
              </w:rPr>
              <w:t xml:space="preserve">  – </w:t>
            </w:r>
            <w:r w:rsidR="00D220FD" w:rsidRPr="00763326">
              <w:rPr>
                <w:b/>
                <w:i/>
                <w:sz w:val="22"/>
                <w:szCs w:val="22"/>
              </w:rPr>
              <w:t>0</w:t>
            </w:r>
            <w:r w:rsidR="00D220FD" w:rsidRPr="00763326">
              <w:rPr>
                <w:b/>
                <w:bCs/>
                <w:i/>
                <w:iCs/>
                <w:sz w:val="22"/>
                <w:szCs w:val="22"/>
              </w:rPr>
              <w:t>%.</w:t>
            </w:r>
          </w:p>
          <w:p w:rsidR="00C15519" w:rsidRPr="00763326" w:rsidRDefault="004B25F4" w:rsidP="00C1551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/>
                <w:bCs/>
                <w:i/>
                <w:iCs/>
                <w:sz w:val="22"/>
                <w:szCs w:val="22"/>
              </w:rPr>
              <w:t>в</w:t>
            </w:r>
            <w:r w:rsidR="00C15519" w:rsidRPr="00763326"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="00AF284D" w:rsidRPr="00763326">
              <w:rPr>
                <w:b/>
                <w:bCs/>
                <w:i/>
                <w:iCs/>
                <w:sz w:val="22"/>
                <w:szCs w:val="22"/>
              </w:rPr>
              <w:t>МКПАО</w:t>
            </w:r>
            <w:r w:rsidR="00C15519"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F284D" w:rsidRPr="00763326">
              <w:rPr>
                <w:b/>
                <w:bCs/>
                <w:i/>
                <w:iCs/>
                <w:sz w:val="22"/>
                <w:szCs w:val="22"/>
              </w:rPr>
              <w:t>«ЭН</w:t>
            </w:r>
            <w:r w:rsidR="00C15519" w:rsidRPr="00763326">
              <w:rPr>
                <w:b/>
                <w:bCs/>
                <w:i/>
                <w:iCs/>
                <w:sz w:val="22"/>
                <w:szCs w:val="22"/>
              </w:rPr>
              <w:t xml:space="preserve">+ </w:t>
            </w:r>
            <w:r w:rsidR="00AF284D" w:rsidRPr="00763326">
              <w:rPr>
                <w:b/>
                <w:bCs/>
                <w:i/>
                <w:iCs/>
                <w:sz w:val="22"/>
                <w:szCs w:val="22"/>
              </w:rPr>
              <w:t>ГРУП»</w:t>
            </w:r>
            <w:r w:rsidR="00FE354D" w:rsidRPr="00763326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D46FC" w:rsidRPr="00763326" w:rsidRDefault="00C15519" w:rsidP="00C1551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Место нахождения: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D46FC" w:rsidRPr="00763326">
              <w:rPr>
                <w:b/>
                <w:bCs/>
                <w:i/>
                <w:iCs/>
                <w:sz w:val="22"/>
                <w:szCs w:val="22"/>
              </w:rPr>
              <w:t>236006, Калининградская область, город Калининград, улица Октябрьская, дом 8, офис 34</w:t>
            </w:r>
          </w:p>
          <w:p w:rsidR="004B25F4" w:rsidRPr="00763326" w:rsidRDefault="00C15519" w:rsidP="00C1551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Основание заинтересованности: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лицо является контролирующим лицом Общества и контролирующим лицом МКПАО «ОК РУСАЛ», АО «РУСАЛ Красноярск», АО </w:t>
            </w:r>
            <w:r w:rsidR="007F6B7A" w:rsidRPr="00763326">
              <w:rPr>
                <w:b/>
                <w:bCs/>
                <w:i/>
                <w:iCs/>
                <w:sz w:val="22"/>
                <w:szCs w:val="22"/>
              </w:rPr>
              <w:t xml:space="preserve">«РУСАЛ Новокузнецк», АО «РУСАЛ Саяногорск», АО </w:t>
            </w:r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«РУСАЛ Урал», АО «РУСАЛ», АО «ОК РУСАЛ ТД», RTI </w:t>
            </w:r>
            <w:proofErr w:type="spellStart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Limited</w:t>
            </w:r>
            <w:proofErr w:type="spellEnd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, RS </w:t>
            </w:r>
            <w:proofErr w:type="spellStart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International</w:t>
            </w:r>
            <w:proofErr w:type="spellEnd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GmbH</w:t>
            </w:r>
            <w:proofErr w:type="spellEnd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, Rusal </w:t>
            </w:r>
            <w:proofErr w:type="spellStart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Marketing</w:t>
            </w:r>
            <w:proofErr w:type="spellEnd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GmbH</w:t>
            </w:r>
            <w:proofErr w:type="spellEnd"/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, являющихся сторонами и/или выгодоприобретателями по Сделке.</w:t>
            </w:r>
          </w:p>
          <w:p w:rsidR="00C15519" w:rsidRPr="00763326" w:rsidRDefault="00C15519" w:rsidP="00C1551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Доля участия заинтересованного лица в уставном капитале (доля принадлежащих заинтересованному лицу акций) Общества на дату совершения сделки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 xml:space="preserve"> – 0%.</w:t>
            </w:r>
          </w:p>
          <w:p w:rsidR="00C15519" w:rsidRPr="00763326" w:rsidRDefault="00C15519" w:rsidP="009A7763">
            <w:pPr>
              <w:spacing w:after="6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lastRenderedPageBreak/>
              <w:t xml:space="preserve">Доля участия заинтересованного лица в уставном капитале (доля принадлежавших </w:t>
            </w:r>
            <w:proofErr w:type="gramStart"/>
            <w:r w:rsidRPr="00763326">
              <w:rPr>
                <w:bCs/>
                <w:iCs/>
                <w:sz w:val="22"/>
                <w:szCs w:val="22"/>
              </w:rPr>
              <w:t>заинтересованному  лицу</w:t>
            </w:r>
            <w:proofErr w:type="gramEnd"/>
            <w:r w:rsidRPr="00763326">
              <w:rPr>
                <w:bCs/>
                <w:iCs/>
                <w:sz w:val="22"/>
                <w:szCs w:val="22"/>
              </w:rPr>
              <w:t xml:space="preserve"> акций) юридического лица, являвшегося стороной в сделке на дату совершения сделки</w:t>
            </w:r>
            <w:r w:rsidR="000F65CE" w:rsidRPr="00763326">
              <w:rPr>
                <w:bCs/>
                <w:iCs/>
                <w:sz w:val="22"/>
                <w:szCs w:val="22"/>
              </w:rPr>
              <w:t xml:space="preserve">: МКПАО «ОК РУСАЛ» – </w:t>
            </w:r>
            <w:r w:rsidR="000F65CE" w:rsidRPr="00763326">
              <w:rPr>
                <w:b/>
                <w:bCs/>
                <w:i/>
                <w:iCs/>
                <w:sz w:val="22"/>
                <w:szCs w:val="22"/>
              </w:rPr>
              <w:t>56,88%</w:t>
            </w:r>
            <w:r w:rsidR="000F65CE" w:rsidRPr="00763326">
              <w:rPr>
                <w:bCs/>
                <w:iCs/>
                <w:sz w:val="22"/>
                <w:szCs w:val="22"/>
              </w:rPr>
              <w:t>, иные стороны</w:t>
            </w:r>
            <w:r w:rsidR="007F6B7A"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>– 0%.</w:t>
            </w:r>
          </w:p>
          <w:p w:rsidR="004C4869" w:rsidRPr="00763326" w:rsidRDefault="004B25F4" w:rsidP="004C486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/>
                <w:bCs/>
                <w:i/>
                <w:iCs/>
                <w:sz w:val="22"/>
                <w:szCs w:val="22"/>
              </w:rPr>
              <w:t>г</w:t>
            </w:r>
            <w:r w:rsidR="004C4869" w:rsidRPr="00763326">
              <w:rPr>
                <w:b/>
                <w:bCs/>
                <w:i/>
                <w:iCs/>
                <w:sz w:val="22"/>
                <w:szCs w:val="22"/>
              </w:rPr>
              <w:t>) Акционерное общество «РУССКИЙ АЛЮМИНИЙ Менеджмент».</w:t>
            </w:r>
          </w:p>
          <w:p w:rsidR="004C4869" w:rsidRPr="00763326" w:rsidRDefault="004C4869" w:rsidP="004C486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Место нахождения: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 xml:space="preserve"> Российская Федерация, 121096, г. Москва, ул. Василисы Кожиной, д.1, этаж 2, помещение 24.</w:t>
            </w:r>
          </w:p>
          <w:p w:rsidR="004B25F4" w:rsidRPr="00763326" w:rsidRDefault="004C4869" w:rsidP="004C486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Основание заинтересованности: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B25F4" w:rsidRPr="00763326">
              <w:rPr>
                <w:b/>
                <w:bCs/>
                <w:i/>
                <w:iCs/>
                <w:sz w:val="22"/>
                <w:szCs w:val="22"/>
              </w:rPr>
              <w:t>лицо осуществляет полномочия единоличного исполнительного органа Общества и также является лицом, осуществляющим полномочия единоличного исполнительного органа АО «РУСАЛ Красноярск», АО «РУСАЛ Новокузнецк», АО «РУСАЛ Саяногорск», АО «РУСАЛ Урал», АО «РУСАЛ», являющихся также сторонами и/или выгодоприобретателями по Сделке.</w:t>
            </w:r>
          </w:p>
          <w:p w:rsidR="004C4869" w:rsidRPr="00763326" w:rsidRDefault="004C4869" w:rsidP="004C486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Доля участия заинтересованного лица в уставном капитале (доля принадлежащих заинтересованному лицу акций) Общества на дату совершения сделки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 xml:space="preserve"> – 0%.</w:t>
            </w:r>
          </w:p>
          <w:p w:rsidR="004C4869" w:rsidRPr="00763326" w:rsidRDefault="004C4869" w:rsidP="009A7763">
            <w:pPr>
              <w:spacing w:after="6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принадлежавших </w:t>
            </w:r>
            <w:proofErr w:type="gramStart"/>
            <w:r w:rsidRPr="00763326">
              <w:rPr>
                <w:bCs/>
                <w:iCs/>
                <w:sz w:val="22"/>
                <w:szCs w:val="22"/>
              </w:rPr>
              <w:t>заинтересованному  лицу</w:t>
            </w:r>
            <w:proofErr w:type="gramEnd"/>
            <w:r w:rsidRPr="00763326">
              <w:rPr>
                <w:bCs/>
                <w:iCs/>
                <w:sz w:val="22"/>
                <w:szCs w:val="22"/>
              </w:rPr>
              <w:t xml:space="preserve"> акций) юридического лица, являвшегося стороной в сделке на дату совершения сделки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 xml:space="preserve">  – 0%.</w:t>
            </w:r>
          </w:p>
          <w:p w:rsidR="004B25F4" w:rsidRPr="00763326" w:rsidRDefault="004B25F4" w:rsidP="004B25F4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/>
                <w:bCs/>
                <w:i/>
                <w:iCs/>
                <w:sz w:val="22"/>
                <w:szCs w:val="22"/>
              </w:rPr>
              <w:t>д)</w:t>
            </w:r>
            <w:r w:rsidRPr="00763326">
              <w:t xml:space="preserve"> 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>Член Совета директоров ПАО «РУСАЛ Братск» Беспалов Александр Борисович.</w:t>
            </w:r>
          </w:p>
          <w:p w:rsidR="004B25F4" w:rsidRPr="00763326" w:rsidRDefault="004B25F4" w:rsidP="004B25F4">
            <w:pPr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 xml:space="preserve">Основание заинтересованности: 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>лицо является членом Совета директоров Общества и также является членом Совета директоров АО «РУСАЛ», являющегося выгодоприобретателем по Сделке.</w:t>
            </w:r>
          </w:p>
          <w:p w:rsidR="004B25F4" w:rsidRPr="00763326" w:rsidRDefault="004B25F4" w:rsidP="004B25F4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>Доля участия заинтересованного лица в уставном капитале (доля принадлежащих заинтересованному лицу акций) Общества на дату совершения сделки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 xml:space="preserve"> – 0%.</w:t>
            </w:r>
          </w:p>
          <w:p w:rsidR="004B25F4" w:rsidRPr="00763326" w:rsidRDefault="004B25F4" w:rsidP="009A7763">
            <w:pPr>
              <w:spacing w:after="6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принадлежавших </w:t>
            </w:r>
            <w:proofErr w:type="gramStart"/>
            <w:r w:rsidRPr="00763326">
              <w:rPr>
                <w:bCs/>
                <w:iCs/>
                <w:sz w:val="22"/>
                <w:szCs w:val="22"/>
              </w:rPr>
              <w:t>заинтересованному  лицу</w:t>
            </w:r>
            <w:proofErr w:type="gramEnd"/>
            <w:r w:rsidRPr="00763326">
              <w:rPr>
                <w:bCs/>
                <w:iCs/>
                <w:sz w:val="22"/>
                <w:szCs w:val="22"/>
              </w:rPr>
              <w:t xml:space="preserve"> акций) юридического лица, являвшегося стороной в сделке на дату совершения сделки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 xml:space="preserve">  – 0%.</w:t>
            </w:r>
          </w:p>
          <w:p w:rsidR="000A705B" w:rsidRPr="00763326" w:rsidRDefault="00D33C1D" w:rsidP="00BC3440">
            <w:pPr>
              <w:spacing w:after="12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2.</w:t>
            </w:r>
            <w:r w:rsidR="009543E3" w:rsidRPr="00763326">
              <w:rPr>
                <w:sz w:val="22"/>
                <w:szCs w:val="22"/>
              </w:rPr>
              <w:t>9</w:t>
            </w:r>
            <w:r w:rsidRPr="00763326">
              <w:rPr>
                <w:sz w:val="22"/>
                <w:szCs w:val="22"/>
              </w:rPr>
              <w:t>. Сведения об одобрении сделки в случае, когда такая сделка была одобрена уполномоченным органом управления эмитента</w:t>
            </w:r>
            <w:r w:rsidRPr="00763326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="0075276C"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C4869" w:rsidRPr="00763326">
              <w:rPr>
                <w:b/>
                <w:bCs/>
                <w:i/>
                <w:iCs/>
                <w:sz w:val="22"/>
                <w:szCs w:val="22"/>
              </w:rPr>
              <w:t>Сделка</w:t>
            </w:r>
            <w:r w:rsidR="007343DE"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5276C" w:rsidRPr="00763326">
              <w:rPr>
                <w:b/>
                <w:bCs/>
                <w:i/>
                <w:iCs/>
                <w:sz w:val="22"/>
                <w:szCs w:val="22"/>
              </w:rPr>
              <w:t>одобрен</w:t>
            </w:r>
            <w:r w:rsidR="004C4869" w:rsidRPr="00763326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="0075276C" w:rsidRPr="0076332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343DE" w:rsidRPr="00763326">
              <w:rPr>
                <w:b/>
                <w:bCs/>
                <w:i/>
                <w:iCs/>
                <w:sz w:val="22"/>
                <w:szCs w:val="22"/>
              </w:rPr>
              <w:t>решением единственного акционера</w:t>
            </w:r>
            <w:r w:rsidR="00FA7024" w:rsidRPr="00763326">
              <w:rPr>
                <w:b/>
                <w:bCs/>
                <w:i/>
                <w:iCs/>
                <w:sz w:val="22"/>
                <w:szCs w:val="22"/>
              </w:rPr>
              <w:t xml:space="preserve"> П</w:t>
            </w:r>
            <w:r w:rsidR="004C4869" w:rsidRPr="00763326">
              <w:rPr>
                <w:b/>
                <w:bCs/>
                <w:i/>
                <w:iCs/>
                <w:sz w:val="22"/>
                <w:szCs w:val="22"/>
              </w:rPr>
              <w:t xml:space="preserve">АО «РУСАЛ Братск», </w:t>
            </w:r>
            <w:r w:rsidR="007343DE" w:rsidRPr="00763326">
              <w:rPr>
                <w:b/>
                <w:bCs/>
                <w:i/>
                <w:iCs/>
                <w:sz w:val="22"/>
                <w:szCs w:val="22"/>
              </w:rPr>
              <w:t>б/н</w:t>
            </w:r>
            <w:r w:rsidR="0075276C" w:rsidRPr="00763326">
              <w:rPr>
                <w:b/>
                <w:bCs/>
                <w:i/>
                <w:iCs/>
                <w:sz w:val="22"/>
                <w:szCs w:val="22"/>
              </w:rPr>
              <w:t xml:space="preserve"> от </w:t>
            </w:r>
            <w:r w:rsidR="00BC3440" w:rsidRPr="00763326">
              <w:rPr>
                <w:b/>
                <w:bCs/>
                <w:i/>
                <w:iCs/>
                <w:sz w:val="22"/>
                <w:szCs w:val="22"/>
              </w:rPr>
              <w:t>22</w:t>
            </w:r>
            <w:r w:rsidR="0075276C" w:rsidRPr="00763326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187F3B" w:rsidRPr="00763326"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="0075276C" w:rsidRPr="00763326">
              <w:rPr>
                <w:b/>
                <w:bCs/>
                <w:i/>
                <w:iCs/>
                <w:sz w:val="22"/>
                <w:szCs w:val="22"/>
              </w:rPr>
              <w:t>.20</w:t>
            </w:r>
            <w:r w:rsidR="002B1882" w:rsidRPr="00763326">
              <w:rPr>
                <w:b/>
                <w:bCs/>
                <w:i/>
                <w:iCs/>
                <w:sz w:val="22"/>
                <w:szCs w:val="22"/>
              </w:rPr>
              <w:t>21</w:t>
            </w:r>
            <w:r w:rsidR="0044642A" w:rsidRPr="00763326">
              <w:rPr>
                <w:b/>
                <w:bCs/>
                <w:i/>
                <w:iCs/>
                <w:sz w:val="22"/>
                <w:szCs w:val="22"/>
              </w:rPr>
              <w:t xml:space="preserve"> г</w:t>
            </w:r>
            <w:r w:rsidR="004C4869" w:rsidRPr="00763326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:rsidR="00EE1ACA" w:rsidRPr="00763326" w:rsidRDefault="00EE1ACA" w:rsidP="007343DE">
      <w:pPr>
        <w:ind w:left="57" w:right="57"/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0A705B" w:rsidRPr="00763326" w:rsidTr="009E20A1">
        <w:tc>
          <w:tcPr>
            <w:tcW w:w="10234" w:type="dxa"/>
          </w:tcPr>
          <w:p w:rsidR="000A705B" w:rsidRPr="00763326" w:rsidRDefault="00B44DFE">
            <w:pPr>
              <w:ind w:left="85" w:right="85"/>
              <w:jc w:val="center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3. Подпись</w:t>
            </w:r>
          </w:p>
        </w:tc>
      </w:tr>
      <w:tr w:rsidR="000A705B" w:rsidRPr="00C72B8F" w:rsidTr="009E20A1">
        <w:tc>
          <w:tcPr>
            <w:tcW w:w="10234" w:type="dxa"/>
          </w:tcPr>
          <w:p w:rsidR="000A705B" w:rsidRPr="00763326" w:rsidRDefault="000A705B" w:rsidP="00155B51">
            <w:pPr>
              <w:spacing w:before="120"/>
              <w:ind w:left="85" w:right="85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3.1. Управляющ</w:t>
            </w:r>
            <w:r w:rsidR="00767741" w:rsidRPr="00763326">
              <w:rPr>
                <w:sz w:val="22"/>
                <w:szCs w:val="22"/>
              </w:rPr>
              <w:t>ий</w:t>
            </w:r>
            <w:r w:rsidRPr="00763326">
              <w:rPr>
                <w:sz w:val="22"/>
                <w:szCs w:val="22"/>
              </w:rPr>
              <w:t xml:space="preserve"> директор</w:t>
            </w:r>
          </w:p>
          <w:p w:rsidR="00767741" w:rsidRPr="00763326" w:rsidRDefault="00EC7A60">
            <w:pPr>
              <w:ind w:left="85" w:right="85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 xml:space="preserve">       П</w:t>
            </w:r>
            <w:r w:rsidR="000A705B" w:rsidRPr="00763326">
              <w:rPr>
                <w:sz w:val="22"/>
                <w:szCs w:val="22"/>
              </w:rPr>
              <w:t xml:space="preserve">АО «РУСАЛ </w:t>
            </w:r>
            <w:proofErr w:type="gramStart"/>
            <w:r w:rsidR="000A705B" w:rsidRPr="00763326">
              <w:rPr>
                <w:sz w:val="22"/>
                <w:szCs w:val="22"/>
              </w:rPr>
              <w:t xml:space="preserve">Братск»   </w:t>
            </w:r>
            <w:proofErr w:type="gramEnd"/>
            <w:r w:rsidR="000A705B" w:rsidRPr="00763326">
              <w:rPr>
                <w:sz w:val="22"/>
                <w:szCs w:val="22"/>
              </w:rPr>
              <w:t xml:space="preserve">                   </w:t>
            </w:r>
            <w:r w:rsidR="00411CC4" w:rsidRPr="00763326">
              <w:rPr>
                <w:sz w:val="22"/>
                <w:szCs w:val="22"/>
              </w:rPr>
              <w:t xml:space="preserve">           </w:t>
            </w:r>
            <w:r w:rsidR="000A705B" w:rsidRPr="00763326">
              <w:rPr>
                <w:sz w:val="22"/>
                <w:szCs w:val="22"/>
              </w:rPr>
              <w:t xml:space="preserve">______________                      </w:t>
            </w:r>
            <w:r w:rsidR="00EB7E26" w:rsidRPr="00763326">
              <w:rPr>
                <w:sz w:val="22"/>
                <w:szCs w:val="22"/>
              </w:rPr>
              <w:t>Е</w:t>
            </w:r>
            <w:r w:rsidR="00767741" w:rsidRPr="00763326">
              <w:rPr>
                <w:sz w:val="22"/>
                <w:szCs w:val="22"/>
              </w:rPr>
              <w:t>.Ю.</w:t>
            </w:r>
            <w:r w:rsidR="00542D52" w:rsidRPr="00763326">
              <w:rPr>
                <w:sz w:val="22"/>
                <w:szCs w:val="22"/>
              </w:rPr>
              <w:t xml:space="preserve"> </w:t>
            </w:r>
            <w:r w:rsidR="00EB7E26" w:rsidRPr="00763326">
              <w:rPr>
                <w:sz w:val="22"/>
                <w:szCs w:val="22"/>
              </w:rPr>
              <w:t>З</w:t>
            </w:r>
            <w:r w:rsidR="00767741" w:rsidRPr="00763326">
              <w:rPr>
                <w:sz w:val="22"/>
                <w:szCs w:val="22"/>
              </w:rPr>
              <w:t>енкин</w:t>
            </w:r>
          </w:p>
          <w:p w:rsidR="00E53309" w:rsidRPr="00763326" w:rsidRDefault="000C0B97">
            <w:pPr>
              <w:ind w:left="85" w:right="85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 xml:space="preserve">                                                                                     (подпись)</w:t>
            </w:r>
          </w:p>
          <w:p w:rsidR="000A705B" w:rsidRDefault="000A705B" w:rsidP="00155B51">
            <w:pPr>
              <w:ind w:left="85" w:right="85"/>
              <w:jc w:val="both"/>
              <w:rPr>
                <w:sz w:val="22"/>
                <w:szCs w:val="22"/>
              </w:rPr>
            </w:pPr>
            <w:r w:rsidRPr="00763326">
              <w:rPr>
                <w:sz w:val="22"/>
                <w:szCs w:val="22"/>
              </w:rPr>
              <w:t>3.2. Дата «</w:t>
            </w:r>
            <w:r w:rsidR="00BC3440" w:rsidRPr="00763326">
              <w:rPr>
                <w:sz w:val="22"/>
                <w:szCs w:val="22"/>
              </w:rPr>
              <w:t>2</w:t>
            </w:r>
            <w:r w:rsidR="00DE1162" w:rsidRPr="00763326">
              <w:rPr>
                <w:sz w:val="22"/>
                <w:szCs w:val="22"/>
              </w:rPr>
              <w:t>8</w:t>
            </w:r>
            <w:r w:rsidRPr="00763326">
              <w:rPr>
                <w:sz w:val="22"/>
                <w:szCs w:val="22"/>
              </w:rPr>
              <w:t xml:space="preserve">» </w:t>
            </w:r>
            <w:r w:rsidR="00187F3B" w:rsidRPr="00763326">
              <w:rPr>
                <w:sz w:val="22"/>
                <w:szCs w:val="22"/>
              </w:rPr>
              <w:t>января</w:t>
            </w:r>
            <w:r w:rsidR="004F0632" w:rsidRPr="00763326">
              <w:rPr>
                <w:sz w:val="22"/>
                <w:szCs w:val="22"/>
              </w:rPr>
              <w:t xml:space="preserve"> 20</w:t>
            </w:r>
            <w:r w:rsidR="002B1882" w:rsidRPr="00763326">
              <w:rPr>
                <w:sz w:val="22"/>
                <w:szCs w:val="22"/>
              </w:rPr>
              <w:t>21</w:t>
            </w:r>
            <w:r w:rsidRPr="00763326">
              <w:rPr>
                <w:sz w:val="22"/>
                <w:szCs w:val="22"/>
              </w:rPr>
              <w:t xml:space="preserve"> г.             </w:t>
            </w:r>
            <w:r w:rsidR="00801943" w:rsidRPr="00763326">
              <w:rPr>
                <w:sz w:val="22"/>
                <w:szCs w:val="22"/>
              </w:rPr>
              <w:t xml:space="preserve">                    </w:t>
            </w:r>
            <w:r w:rsidRPr="00763326">
              <w:rPr>
                <w:sz w:val="22"/>
                <w:szCs w:val="22"/>
              </w:rPr>
              <w:t>М.П.</w:t>
            </w:r>
          </w:p>
          <w:p w:rsidR="00155B51" w:rsidRPr="00C72B8F" w:rsidRDefault="00155B51" w:rsidP="00155B51">
            <w:pPr>
              <w:ind w:left="85" w:right="85"/>
              <w:jc w:val="both"/>
              <w:rPr>
                <w:sz w:val="22"/>
                <w:szCs w:val="22"/>
              </w:rPr>
            </w:pPr>
          </w:p>
        </w:tc>
      </w:tr>
    </w:tbl>
    <w:p w:rsidR="000A705B" w:rsidRPr="00C72B8F" w:rsidRDefault="000A705B" w:rsidP="00C72B8F"/>
    <w:sectPr w:rsidR="000A705B" w:rsidRPr="00C72B8F" w:rsidSect="00767741">
      <w:headerReference w:type="even" r:id="rId10"/>
      <w:headerReference w:type="default" r:id="rId11"/>
      <w:pgSz w:w="11906" w:h="16838"/>
      <w:pgMar w:top="567" w:right="567" w:bottom="709" w:left="1134" w:header="397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59" w:rsidRDefault="00C25859" w:rsidP="00A64438">
      <w:r>
        <w:separator/>
      </w:r>
    </w:p>
  </w:endnote>
  <w:endnote w:type="continuationSeparator" w:id="0">
    <w:p w:rsidR="00C25859" w:rsidRDefault="00C25859" w:rsidP="00A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59" w:rsidRDefault="00C25859" w:rsidP="00A64438">
      <w:r>
        <w:separator/>
      </w:r>
    </w:p>
  </w:footnote>
  <w:footnote w:type="continuationSeparator" w:id="0">
    <w:p w:rsidR="00C25859" w:rsidRDefault="00C25859" w:rsidP="00A6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CA" w:rsidRDefault="00EE1ACA" w:rsidP="0080707C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E1ACA" w:rsidRDefault="00EE1ACA" w:rsidP="00EE1AC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CA" w:rsidRDefault="00EE1ACA" w:rsidP="0080707C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4778E">
      <w:rPr>
        <w:rStyle w:val="ad"/>
        <w:noProof/>
      </w:rPr>
      <w:t>4</w:t>
    </w:r>
    <w:r>
      <w:rPr>
        <w:rStyle w:val="ad"/>
      </w:rPr>
      <w:fldChar w:fldCharType="end"/>
    </w:r>
  </w:p>
  <w:p w:rsidR="000A705B" w:rsidRDefault="000A705B" w:rsidP="00EE1ACA">
    <w:pPr>
      <w:pStyle w:val="a5"/>
      <w:ind w:right="360"/>
      <w:jc w:val="right"/>
      <w:rPr>
        <w:sz w:val="14"/>
        <w:szCs w:val="14"/>
      </w:rPr>
    </w:pPr>
  </w:p>
  <w:p w:rsidR="000A705B" w:rsidRDefault="000A705B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0E0"/>
    <w:multiLevelType w:val="hybridMultilevel"/>
    <w:tmpl w:val="A708580A"/>
    <w:lvl w:ilvl="0" w:tplc="7B4EE910">
      <w:start w:val="1"/>
      <w:numFmt w:val="decimal"/>
      <w:lvlText w:val="%1)"/>
      <w:lvlJc w:val="left"/>
      <w:pPr>
        <w:ind w:left="113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A28273B"/>
    <w:multiLevelType w:val="hybridMultilevel"/>
    <w:tmpl w:val="FA649496"/>
    <w:lvl w:ilvl="0" w:tplc="362451FE">
      <w:start w:val="2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abstractNum w:abstractNumId="2" w15:restartNumberingAfterBreak="0">
    <w:nsid w:val="30A90D5E"/>
    <w:multiLevelType w:val="hybridMultilevel"/>
    <w:tmpl w:val="CA768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CB2E01"/>
    <w:multiLevelType w:val="hybridMultilevel"/>
    <w:tmpl w:val="FE06F1BA"/>
    <w:lvl w:ilvl="0" w:tplc="D4F65B4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367A227B"/>
    <w:multiLevelType w:val="multilevel"/>
    <w:tmpl w:val="EF4A9D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70F7F39"/>
    <w:multiLevelType w:val="hybridMultilevel"/>
    <w:tmpl w:val="F11C70EA"/>
    <w:lvl w:ilvl="0" w:tplc="205A6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C48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B36DA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31EF4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EE5A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FC8F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425E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1328B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FA7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73350E1"/>
    <w:multiLevelType w:val="multilevel"/>
    <w:tmpl w:val="1A5A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52C87EE0"/>
    <w:multiLevelType w:val="hybridMultilevel"/>
    <w:tmpl w:val="16FAB746"/>
    <w:lvl w:ilvl="0" w:tplc="6B925B1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B8E30D6"/>
    <w:multiLevelType w:val="hybridMultilevel"/>
    <w:tmpl w:val="83AE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EA1357"/>
    <w:multiLevelType w:val="singleLevel"/>
    <w:tmpl w:val="57027ED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 w15:restartNumberingAfterBreak="0">
    <w:nsid w:val="5ECD20A6"/>
    <w:multiLevelType w:val="hybridMultilevel"/>
    <w:tmpl w:val="58982DDC"/>
    <w:lvl w:ilvl="0" w:tplc="29C61B00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2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3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4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2"/>
  </w:num>
  <w:num w:numId="5">
    <w:abstractNumId w:val="13"/>
  </w:num>
  <w:num w:numId="6">
    <w:abstractNumId w:val="7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4A"/>
    <w:rsid w:val="00000BE7"/>
    <w:rsid w:val="00004216"/>
    <w:rsid w:val="00007496"/>
    <w:rsid w:val="00021C08"/>
    <w:rsid w:val="00027727"/>
    <w:rsid w:val="00033C6E"/>
    <w:rsid w:val="000351CD"/>
    <w:rsid w:val="00037089"/>
    <w:rsid w:val="000414F3"/>
    <w:rsid w:val="00044E9A"/>
    <w:rsid w:val="00045216"/>
    <w:rsid w:val="00045449"/>
    <w:rsid w:val="0005365C"/>
    <w:rsid w:val="00055E4E"/>
    <w:rsid w:val="00056B92"/>
    <w:rsid w:val="00066B23"/>
    <w:rsid w:val="000678B1"/>
    <w:rsid w:val="00084D77"/>
    <w:rsid w:val="000966F4"/>
    <w:rsid w:val="000A23EB"/>
    <w:rsid w:val="000A5BE3"/>
    <w:rsid w:val="000A705B"/>
    <w:rsid w:val="000B0F94"/>
    <w:rsid w:val="000B6651"/>
    <w:rsid w:val="000C0B97"/>
    <w:rsid w:val="000C2027"/>
    <w:rsid w:val="000C4ACC"/>
    <w:rsid w:val="000C6829"/>
    <w:rsid w:val="000D1AFF"/>
    <w:rsid w:val="000D5916"/>
    <w:rsid w:val="000E02AB"/>
    <w:rsid w:val="000E3B40"/>
    <w:rsid w:val="000E69FB"/>
    <w:rsid w:val="000F2CF3"/>
    <w:rsid w:val="000F3E71"/>
    <w:rsid w:val="000F65CE"/>
    <w:rsid w:val="00105C14"/>
    <w:rsid w:val="00126977"/>
    <w:rsid w:val="001350AC"/>
    <w:rsid w:val="0014282E"/>
    <w:rsid w:val="00144CA6"/>
    <w:rsid w:val="0014607D"/>
    <w:rsid w:val="00155B51"/>
    <w:rsid w:val="00165337"/>
    <w:rsid w:val="00165BBB"/>
    <w:rsid w:val="00171713"/>
    <w:rsid w:val="00183AD2"/>
    <w:rsid w:val="00186522"/>
    <w:rsid w:val="00187F3B"/>
    <w:rsid w:val="001906E5"/>
    <w:rsid w:val="001962BD"/>
    <w:rsid w:val="0019709D"/>
    <w:rsid w:val="001A4DAC"/>
    <w:rsid w:val="001B0918"/>
    <w:rsid w:val="001C7BAB"/>
    <w:rsid w:val="001D0C87"/>
    <w:rsid w:val="001D3692"/>
    <w:rsid w:val="001D3FA9"/>
    <w:rsid w:val="001D411F"/>
    <w:rsid w:val="001E4B2F"/>
    <w:rsid w:val="00205F1A"/>
    <w:rsid w:val="002113A6"/>
    <w:rsid w:val="0021318F"/>
    <w:rsid w:val="00214712"/>
    <w:rsid w:val="002404AC"/>
    <w:rsid w:val="0025266E"/>
    <w:rsid w:val="00257ED7"/>
    <w:rsid w:val="002635E3"/>
    <w:rsid w:val="002815FA"/>
    <w:rsid w:val="00283E01"/>
    <w:rsid w:val="002908CC"/>
    <w:rsid w:val="002A6DF0"/>
    <w:rsid w:val="002B1882"/>
    <w:rsid w:val="002B5A1C"/>
    <w:rsid w:val="002C32BD"/>
    <w:rsid w:val="002C4710"/>
    <w:rsid w:val="002C5BBA"/>
    <w:rsid w:val="002D0255"/>
    <w:rsid w:val="002D2EE6"/>
    <w:rsid w:val="002D2F09"/>
    <w:rsid w:val="002D379F"/>
    <w:rsid w:val="002D5973"/>
    <w:rsid w:val="002D5C17"/>
    <w:rsid w:val="0030690A"/>
    <w:rsid w:val="003133F6"/>
    <w:rsid w:val="0032168D"/>
    <w:rsid w:val="003305A6"/>
    <w:rsid w:val="00330738"/>
    <w:rsid w:val="00342268"/>
    <w:rsid w:val="003504C0"/>
    <w:rsid w:val="003507F0"/>
    <w:rsid w:val="00381F04"/>
    <w:rsid w:val="00387CEA"/>
    <w:rsid w:val="00393BC1"/>
    <w:rsid w:val="003974CA"/>
    <w:rsid w:val="003A1A09"/>
    <w:rsid w:val="003A78A2"/>
    <w:rsid w:val="003B7D6E"/>
    <w:rsid w:val="003C123E"/>
    <w:rsid w:val="003C457B"/>
    <w:rsid w:val="003D38D9"/>
    <w:rsid w:val="003F16F6"/>
    <w:rsid w:val="003F3552"/>
    <w:rsid w:val="003F612A"/>
    <w:rsid w:val="004007AC"/>
    <w:rsid w:val="004017DD"/>
    <w:rsid w:val="00404C76"/>
    <w:rsid w:val="00411CC4"/>
    <w:rsid w:val="00414E29"/>
    <w:rsid w:val="00424FD2"/>
    <w:rsid w:val="0042573E"/>
    <w:rsid w:val="0042582C"/>
    <w:rsid w:val="00441CC5"/>
    <w:rsid w:val="00443E5B"/>
    <w:rsid w:val="0044642A"/>
    <w:rsid w:val="0044778F"/>
    <w:rsid w:val="004525B1"/>
    <w:rsid w:val="00460953"/>
    <w:rsid w:val="00463B7E"/>
    <w:rsid w:val="00472ACB"/>
    <w:rsid w:val="00473DFB"/>
    <w:rsid w:val="004750D9"/>
    <w:rsid w:val="0047744A"/>
    <w:rsid w:val="00481D8D"/>
    <w:rsid w:val="00491853"/>
    <w:rsid w:val="004959D0"/>
    <w:rsid w:val="004A0575"/>
    <w:rsid w:val="004A29F7"/>
    <w:rsid w:val="004A5CCE"/>
    <w:rsid w:val="004B0498"/>
    <w:rsid w:val="004B25F4"/>
    <w:rsid w:val="004C283C"/>
    <w:rsid w:val="004C449F"/>
    <w:rsid w:val="004C4869"/>
    <w:rsid w:val="004C4E70"/>
    <w:rsid w:val="004C6F97"/>
    <w:rsid w:val="004D2EB1"/>
    <w:rsid w:val="004D558F"/>
    <w:rsid w:val="004D7958"/>
    <w:rsid w:val="004E2955"/>
    <w:rsid w:val="004E78E0"/>
    <w:rsid w:val="004F0632"/>
    <w:rsid w:val="004F354A"/>
    <w:rsid w:val="004F6B66"/>
    <w:rsid w:val="00504781"/>
    <w:rsid w:val="00507708"/>
    <w:rsid w:val="005123D2"/>
    <w:rsid w:val="00512B97"/>
    <w:rsid w:val="00525104"/>
    <w:rsid w:val="00540BE8"/>
    <w:rsid w:val="005411C5"/>
    <w:rsid w:val="005411D1"/>
    <w:rsid w:val="00542D52"/>
    <w:rsid w:val="005431BD"/>
    <w:rsid w:val="00544172"/>
    <w:rsid w:val="0055361D"/>
    <w:rsid w:val="005569B6"/>
    <w:rsid w:val="0056259D"/>
    <w:rsid w:val="00564F3A"/>
    <w:rsid w:val="005654CA"/>
    <w:rsid w:val="00570100"/>
    <w:rsid w:val="00573469"/>
    <w:rsid w:val="00573E4C"/>
    <w:rsid w:val="0058697C"/>
    <w:rsid w:val="005873E5"/>
    <w:rsid w:val="00591956"/>
    <w:rsid w:val="00595EF4"/>
    <w:rsid w:val="005A40B1"/>
    <w:rsid w:val="005B54C7"/>
    <w:rsid w:val="005B56BC"/>
    <w:rsid w:val="005B71A6"/>
    <w:rsid w:val="005C0CD0"/>
    <w:rsid w:val="005C5016"/>
    <w:rsid w:val="005C514E"/>
    <w:rsid w:val="005C6902"/>
    <w:rsid w:val="005D79C8"/>
    <w:rsid w:val="005E33AE"/>
    <w:rsid w:val="005E3738"/>
    <w:rsid w:val="005E3B93"/>
    <w:rsid w:val="005E4561"/>
    <w:rsid w:val="005E566F"/>
    <w:rsid w:val="005F1409"/>
    <w:rsid w:val="005F19DB"/>
    <w:rsid w:val="005F2F4C"/>
    <w:rsid w:val="005F4257"/>
    <w:rsid w:val="00600ADA"/>
    <w:rsid w:val="00601D02"/>
    <w:rsid w:val="00601E3C"/>
    <w:rsid w:val="00602C91"/>
    <w:rsid w:val="0060675A"/>
    <w:rsid w:val="006122E2"/>
    <w:rsid w:val="006200DD"/>
    <w:rsid w:val="00620A67"/>
    <w:rsid w:val="00621391"/>
    <w:rsid w:val="00623D3E"/>
    <w:rsid w:val="00624AC4"/>
    <w:rsid w:val="00625D37"/>
    <w:rsid w:val="00634829"/>
    <w:rsid w:val="00643DEE"/>
    <w:rsid w:val="0065099F"/>
    <w:rsid w:val="00650DFD"/>
    <w:rsid w:val="00652979"/>
    <w:rsid w:val="00652A8B"/>
    <w:rsid w:val="00655B33"/>
    <w:rsid w:val="0065612B"/>
    <w:rsid w:val="00657DD9"/>
    <w:rsid w:val="00662AFA"/>
    <w:rsid w:val="006675C9"/>
    <w:rsid w:val="00676979"/>
    <w:rsid w:val="00681933"/>
    <w:rsid w:val="00695CD8"/>
    <w:rsid w:val="006A0D7B"/>
    <w:rsid w:val="006A17A1"/>
    <w:rsid w:val="006A1C03"/>
    <w:rsid w:val="006A261D"/>
    <w:rsid w:val="006A26D2"/>
    <w:rsid w:val="006A5973"/>
    <w:rsid w:val="006A5AA0"/>
    <w:rsid w:val="006C53C5"/>
    <w:rsid w:val="006D42F6"/>
    <w:rsid w:val="006D4949"/>
    <w:rsid w:val="006E5715"/>
    <w:rsid w:val="006E6CD5"/>
    <w:rsid w:val="006F3B0B"/>
    <w:rsid w:val="007035BE"/>
    <w:rsid w:val="0071019D"/>
    <w:rsid w:val="007142C4"/>
    <w:rsid w:val="007329B1"/>
    <w:rsid w:val="007343DE"/>
    <w:rsid w:val="0074308E"/>
    <w:rsid w:val="0074778E"/>
    <w:rsid w:val="00750DA5"/>
    <w:rsid w:val="0075276C"/>
    <w:rsid w:val="0076170A"/>
    <w:rsid w:val="00763326"/>
    <w:rsid w:val="00767741"/>
    <w:rsid w:val="00772AD8"/>
    <w:rsid w:val="00772FF2"/>
    <w:rsid w:val="00773718"/>
    <w:rsid w:val="007739D9"/>
    <w:rsid w:val="00782531"/>
    <w:rsid w:val="00783CFB"/>
    <w:rsid w:val="00784797"/>
    <w:rsid w:val="00787834"/>
    <w:rsid w:val="007959CB"/>
    <w:rsid w:val="0079680A"/>
    <w:rsid w:val="007A2324"/>
    <w:rsid w:val="007A6A16"/>
    <w:rsid w:val="007B1CE6"/>
    <w:rsid w:val="007B4349"/>
    <w:rsid w:val="007C6EF5"/>
    <w:rsid w:val="007D00D4"/>
    <w:rsid w:val="007E1CC3"/>
    <w:rsid w:val="007E571E"/>
    <w:rsid w:val="007F6B7A"/>
    <w:rsid w:val="008003FB"/>
    <w:rsid w:val="00801943"/>
    <w:rsid w:val="00802D5C"/>
    <w:rsid w:val="0080707C"/>
    <w:rsid w:val="0081520E"/>
    <w:rsid w:val="00817A87"/>
    <w:rsid w:val="00823E85"/>
    <w:rsid w:val="00826418"/>
    <w:rsid w:val="00834187"/>
    <w:rsid w:val="00840961"/>
    <w:rsid w:val="00845D1E"/>
    <w:rsid w:val="00847D25"/>
    <w:rsid w:val="00856891"/>
    <w:rsid w:val="00860F26"/>
    <w:rsid w:val="00861F73"/>
    <w:rsid w:val="00874FD4"/>
    <w:rsid w:val="008770DA"/>
    <w:rsid w:val="008943D4"/>
    <w:rsid w:val="008978C7"/>
    <w:rsid w:val="008A1FDE"/>
    <w:rsid w:val="008A239B"/>
    <w:rsid w:val="008B3080"/>
    <w:rsid w:val="008C650E"/>
    <w:rsid w:val="008D7ECC"/>
    <w:rsid w:val="008E32E5"/>
    <w:rsid w:val="008F5F35"/>
    <w:rsid w:val="00915B33"/>
    <w:rsid w:val="0093236E"/>
    <w:rsid w:val="00932F07"/>
    <w:rsid w:val="0093485A"/>
    <w:rsid w:val="009411DC"/>
    <w:rsid w:val="00941548"/>
    <w:rsid w:val="009543E3"/>
    <w:rsid w:val="00955C2C"/>
    <w:rsid w:val="00966567"/>
    <w:rsid w:val="009665DE"/>
    <w:rsid w:val="00983E82"/>
    <w:rsid w:val="0099418B"/>
    <w:rsid w:val="009A01D0"/>
    <w:rsid w:val="009A5719"/>
    <w:rsid w:val="009A7763"/>
    <w:rsid w:val="009B00C6"/>
    <w:rsid w:val="009B02ED"/>
    <w:rsid w:val="009B2871"/>
    <w:rsid w:val="009B44DD"/>
    <w:rsid w:val="009B5D7A"/>
    <w:rsid w:val="009C0F74"/>
    <w:rsid w:val="009C125A"/>
    <w:rsid w:val="009C69C4"/>
    <w:rsid w:val="009E20A1"/>
    <w:rsid w:val="009E2C70"/>
    <w:rsid w:val="009E4398"/>
    <w:rsid w:val="009E47CC"/>
    <w:rsid w:val="009E508D"/>
    <w:rsid w:val="009E7C4F"/>
    <w:rsid w:val="009F4958"/>
    <w:rsid w:val="00A10405"/>
    <w:rsid w:val="00A14147"/>
    <w:rsid w:val="00A202DE"/>
    <w:rsid w:val="00A24B60"/>
    <w:rsid w:val="00A252C4"/>
    <w:rsid w:val="00A264F6"/>
    <w:rsid w:val="00A30074"/>
    <w:rsid w:val="00A31FD7"/>
    <w:rsid w:val="00A418D1"/>
    <w:rsid w:val="00A41B73"/>
    <w:rsid w:val="00A45C0F"/>
    <w:rsid w:val="00A64438"/>
    <w:rsid w:val="00A657A7"/>
    <w:rsid w:val="00A715F5"/>
    <w:rsid w:val="00A95FA0"/>
    <w:rsid w:val="00AA51D0"/>
    <w:rsid w:val="00AB17D7"/>
    <w:rsid w:val="00AB1A1E"/>
    <w:rsid w:val="00AB567F"/>
    <w:rsid w:val="00AC13B8"/>
    <w:rsid w:val="00AC34AD"/>
    <w:rsid w:val="00AD0CFB"/>
    <w:rsid w:val="00AE1277"/>
    <w:rsid w:val="00AE383C"/>
    <w:rsid w:val="00AE5135"/>
    <w:rsid w:val="00AF284D"/>
    <w:rsid w:val="00AF59EC"/>
    <w:rsid w:val="00B01125"/>
    <w:rsid w:val="00B1383C"/>
    <w:rsid w:val="00B2245F"/>
    <w:rsid w:val="00B2252A"/>
    <w:rsid w:val="00B234AB"/>
    <w:rsid w:val="00B30E24"/>
    <w:rsid w:val="00B33DB3"/>
    <w:rsid w:val="00B3632A"/>
    <w:rsid w:val="00B4249A"/>
    <w:rsid w:val="00B44DFE"/>
    <w:rsid w:val="00B46BA2"/>
    <w:rsid w:val="00B66E42"/>
    <w:rsid w:val="00B74F76"/>
    <w:rsid w:val="00B7513E"/>
    <w:rsid w:val="00B77169"/>
    <w:rsid w:val="00B80CDA"/>
    <w:rsid w:val="00B84AB5"/>
    <w:rsid w:val="00B87E52"/>
    <w:rsid w:val="00B91EC0"/>
    <w:rsid w:val="00BA28EB"/>
    <w:rsid w:val="00BB6FE5"/>
    <w:rsid w:val="00BC3440"/>
    <w:rsid w:val="00BC3867"/>
    <w:rsid w:val="00BC7C75"/>
    <w:rsid w:val="00BD07D1"/>
    <w:rsid w:val="00BD274B"/>
    <w:rsid w:val="00BD46FC"/>
    <w:rsid w:val="00BF2DCD"/>
    <w:rsid w:val="00C04BC6"/>
    <w:rsid w:val="00C1063E"/>
    <w:rsid w:val="00C15519"/>
    <w:rsid w:val="00C15D8F"/>
    <w:rsid w:val="00C23A31"/>
    <w:rsid w:val="00C25859"/>
    <w:rsid w:val="00C2674C"/>
    <w:rsid w:val="00C328BC"/>
    <w:rsid w:val="00C34A95"/>
    <w:rsid w:val="00C42D91"/>
    <w:rsid w:val="00C44208"/>
    <w:rsid w:val="00C64211"/>
    <w:rsid w:val="00C64A05"/>
    <w:rsid w:val="00C72B8F"/>
    <w:rsid w:val="00C746F4"/>
    <w:rsid w:val="00C75570"/>
    <w:rsid w:val="00C77ECD"/>
    <w:rsid w:val="00C85E5B"/>
    <w:rsid w:val="00C97E32"/>
    <w:rsid w:val="00CA1B45"/>
    <w:rsid w:val="00CA2E98"/>
    <w:rsid w:val="00CA6279"/>
    <w:rsid w:val="00CA6F47"/>
    <w:rsid w:val="00CB4B4B"/>
    <w:rsid w:val="00CB4BBA"/>
    <w:rsid w:val="00CC0D77"/>
    <w:rsid w:val="00CC57C0"/>
    <w:rsid w:val="00CC5BFD"/>
    <w:rsid w:val="00CC5C1E"/>
    <w:rsid w:val="00CD121A"/>
    <w:rsid w:val="00CD4340"/>
    <w:rsid w:val="00CD732D"/>
    <w:rsid w:val="00CE2856"/>
    <w:rsid w:val="00CE6A84"/>
    <w:rsid w:val="00CF2230"/>
    <w:rsid w:val="00CF34CA"/>
    <w:rsid w:val="00CF3BC7"/>
    <w:rsid w:val="00D00144"/>
    <w:rsid w:val="00D00BA9"/>
    <w:rsid w:val="00D04B51"/>
    <w:rsid w:val="00D04DE2"/>
    <w:rsid w:val="00D21FF6"/>
    <w:rsid w:val="00D220FD"/>
    <w:rsid w:val="00D22F30"/>
    <w:rsid w:val="00D256CB"/>
    <w:rsid w:val="00D32D9F"/>
    <w:rsid w:val="00D33C1D"/>
    <w:rsid w:val="00D51290"/>
    <w:rsid w:val="00D6664B"/>
    <w:rsid w:val="00D71437"/>
    <w:rsid w:val="00D71657"/>
    <w:rsid w:val="00D7309A"/>
    <w:rsid w:val="00D73EEE"/>
    <w:rsid w:val="00D85B10"/>
    <w:rsid w:val="00D86B89"/>
    <w:rsid w:val="00D906DA"/>
    <w:rsid w:val="00D90D9A"/>
    <w:rsid w:val="00D91267"/>
    <w:rsid w:val="00D9318F"/>
    <w:rsid w:val="00DA275B"/>
    <w:rsid w:val="00DA7663"/>
    <w:rsid w:val="00DB3EB6"/>
    <w:rsid w:val="00DD1EB9"/>
    <w:rsid w:val="00DE1162"/>
    <w:rsid w:val="00DF00CC"/>
    <w:rsid w:val="00DF6E13"/>
    <w:rsid w:val="00DF7532"/>
    <w:rsid w:val="00E06648"/>
    <w:rsid w:val="00E07E86"/>
    <w:rsid w:val="00E16646"/>
    <w:rsid w:val="00E21671"/>
    <w:rsid w:val="00E23654"/>
    <w:rsid w:val="00E24F32"/>
    <w:rsid w:val="00E33455"/>
    <w:rsid w:val="00E37EEB"/>
    <w:rsid w:val="00E42A41"/>
    <w:rsid w:val="00E51C87"/>
    <w:rsid w:val="00E53309"/>
    <w:rsid w:val="00E53992"/>
    <w:rsid w:val="00E62363"/>
    <w:rsid w:val="00E64D36"/>
    <w:rsid w:val="00E662BE"/>
    <w:rsid w:val="00E73E9C"/>
    <w:rsid w:val="00E73FEB"/>
    <w:rsid w:val="00E7737C"/>
    <w:rsid w:val="00E8442E"/>
    <w:rsid w:val="00E902E8"/>
    <w:rsid w:val="00E968A9"/>
    <w:rsid w:val="00EA18A7"/>
    <w:rsid w:val="00EB7E26"/>
    <w:rsid w:val="00EC3D5A"/>
    <w:rsid w:val="00EC7A60"/>
    <w:rsid w:val="00EE1ACA"/>
    <w:rsid w:val="00EE6922"/>
    <w:rsid w:val="00EF4A98"/>
    <w:rsid w:val="00F170BC"/>
    <w:rsid w:val="00F251C0"/>
    <w:rsid w:val="00F3229D"/>
    <w:rsid w:val="00F43DF7"/>
    <w:rsid w:val="00F4765E"/>
    <w:rsid w:val="00F55844"/>
    <w:rsid w:val="00F60C54"/>
    <w:rsid w:val="00F64FBE"/>
    <w:rsid w:val="00F674BC"/>
    <w:rsid w:val="00F757D8"/>
    <w:rsid w:val="00F80132"/>
    <w:rsid w:val="00F84C0F"/>
    <w:rsid w:val="00F85935"/>
    <w:rsid w:val="00F902AA"/>
    <w:rsid w:val="00F946C6"/>
    <w:rsid w:val="00FA0F7C"/>
    <w:rsid w:val="00FA441D"/>
    <w:rsid w:val="00FA5BEE"/>
    <w:rsid w:val="00FA7024"/>
    <w:rsid w:val="00FA728D"/>
    <w:rsid w:val="00FB20DB"/>
    <w:rsid w:val="00FB2D2E"/>
    <w:rsid w:val="00FB3D08"/>
    <w:rsid w:val="00FC0D38"/>
    <w:rsid w:val="00FC4BBA"/>
    <w:rsid w:val="00FC4C53"/>
    <w:rsid w:val="00FC76B5"/>
    <w:rsid w:val="00FD191C"/>
    <w:rsid w:val="00FD61A9"/>
    <w:rsid w:val="00FE08D9"/>
    <w:rsid w:val="00FE1DC8"/>
    <w:rsid w:val="00FE354D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9A076A-7730-4CB4-BA0C-AE5C9F1C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21318F"/>
    <w:pPr>
      <w:keepNext/>
      <w:keepLines/>
      <w:autoSpaceDE/>
      <w:autoSpaceDN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locked/>
    <w:rsid w:val="0021318F"/>
    <w:rPr>
      <w:rFonts w:ascii="Cambria" w:hAnsi="Cambria" w:cs="Times New Roman"/>
      <w:i/>
      <w:iCs/>
      <w:color w:val="243F6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BF2DCD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Body Text"/>
    <w:basedOn w:val="a"/>
    <w:link w:val="aa"/>
    <w:uiPriority w:val="99"/>
    <w:pPr>
      <w:spacing w:after="240"/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Block Text"/>
    <w:basedOn w:val="a"/>
    <w:uiPriority w:val="99"/>
    <w:pPr>
      <w:ind w:left="85" w:right="85"/>
      <w:jc w:val="both"/>
    </w:pPr>
    <w:rPr>
      <w:sz w:val="22"/>
      <w:szCs w:val="22"/>
    </w:rPr>
  </w:style>
  <w:style w:type="character" w:styleId="ac">
    <w:name w:val="Hyperlink"/>
    <w:basedOn w:val="a0"/>
    <w:uiPriority w:val="99"/>
    <w:rsid w:val="00EE1ACA"/>
    <w:rPr>
      <w:rFonts w:cs="Times New Roman"/>
      <w:color w:val="0000FF"/>
      <w:u w:val="single"/>
    </w:rPr>
  </w:style>
  <w:style w:type="character" w:styleId="ad">
    <w:name w:val="page number"/>
    <w:basedOn w:val="a0"/>
    <w:uiPriority w:val="99"/>
    <w:rsid w:val="00EE1ACA"/>
    <w:rPr>
      <w:rFonts w:cs="Times New Roman"/>
    </w:rPr>
  </w:style>
  <w:style w:type="paragraph" w:styleId="2">
    <w:name w:val="Body Text 2"/>
    <w:basedOn w:val="a"/>
    <w:link w:val="20"/>
    <w:uiPriority w:val="99"/>
    <w:rsid w:val="00393BC1"/>
    <w:pPr>
      <w:autoSpaceDE/>
      <w:autoSpaceDN/>
      <w:ind w:right="-40"/>
      <w:jc w:val="both"/>
    </w:pPr>
    <w:rPr>
      <w:color w:val="FF0000"/>
      <w:sz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EC3D5A"/>
    <w:rPr>
      <w:rFonts w:cs="Times New Roman"/>
      <w:sz w:val="20"/>
      <w:szCs w:val="20"/>
    </w:rPr>
  </w:style>
  <w:style w:type="paragraph" w:customStyle="1" w:styleId="21">
    <w:name w:val="Основной текст 21"/>
    <w:basedOn w:val="a"/>
    <w:rsid w:val="005411C5"/>
    <w:pPr>
      <w:autoSpaceDE/>
      <w:autoSpaceDN/>
      <w:ind w:right="-40"/>
      <w:jc w:val="both"/>
    </w:pPr>
    <w:rPr>
      <w:color w:val="FF0000"/>
      <w:sz w:val="22"/>
    </w:rPr>
  </w:style>
  <w:style w:type="character" w:customStyle="1" w:styleId="Subst">
    <w:name w:val="Subst"/>
    <w:rsid w:val="00AC34AD"/>
    <w:rPr>
      <w:b/>
      <w:i/>
    </w:rPr>
  </w:style>
  <w:style w:type="paragraph" w:customStyle="1" w:styleId="1">
    <w:name w:val="Обычный1"/>
    <w:rsid w:val="00DA275B"/>
    <w:pPr>
      <w:widowControl w:val="0"/>
      <w:spacing w:after="0" w:line="280" w:lineRule="auto"/>
      <w:ind w:left="40" w:firstLine="720"/>
    </w:pPr>
    <w:rPr>
      <w:sz w:val="20"/>
      <w:szCs w:val="20"/>
    </w:rPr>
  </w:style>
  <w:style w:type="paragraph" w:styleId="ae">
    <w:name w:val="Title"/>
    <w:basedOn w:val="a"/>
    <w:link w:val="af"/>
    <w:uiPriority w:val="10"/>
    <w:qFormat/>
    <w:locked/>
    <w:rsid w:val="0093485A"/>
    <w:pPr>
      <w:autoSpaceDE/>
      <w:autoSpaceDN/>
      <w:jc w:val="center"/>
    </w:pPr>
    <w:rPr>
      <w:sz w:val="24"/>
    </w:rPr>
  </w:style>
  <w:style w:type="character" w:customStyle="1" w:styleId="af">
    <w:name w:val="Заголовок Знак"/>
    <w:basedOn w:val="a0"/>
    <w:link w:val="ae"/>
    <w:uiPriority w:val="10"/>
    <w:locked/>
    <w:rsid w:val="0093485A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9C0F74"/>
  </w:style>
  <w:style w:type="paragraph" w:styleId="22">
    <w:name w:val="Body Text Indent 2"/>
    <w:basedOn w:val="a"/>
    <w:link w:val="23"/>
    <w:uiPriority w:val="99"/>
    <w:semiHidden/>
    <w:unhideWhenUsed/>
    <w:rsid w:val="004C4E7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4C4E70"/>
    <w:rPr>
      <w:rFonts w:cs="Times New Roman"/>
      <w:sz w:val="20"/>
      <w:szCs w:val="20"/>
    </w:rPr>
  </w:style>
  <w:style w:type="paragraph" w:styleId="af0">
    <w:name w:val="Body Text Indent"/>
    <w:basedOn w:val="a"/>
    <w:link w:val="af1"/>
    <w:uiPriority w:val="99"/>
    <w:semiHidden/>
    <w:unhideWhenUsed/>
    <w:rsid w:val="004C4E7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4C4E70"/>
    <w:rPr>
      <w:rFonts w:cs="Times New Roman"/>
      <w:sz w:val="20"/>
      <w:szCs w:val="20"/>
    </w:rPr>
  </w:style>
  <w:style w:type="paragraph" w:customStyle="1" w:styleId="Default">
    <w:name w:val="Default"/>
    <w:rsid w:val="007739D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f2">
    <w:name w:val="Table Grid"/>
    <w:basedOn w:val="a1"/>
    <w:uiPriority w:val="59"/>
    <w:locked/>
    <w:rsid w:val="0099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99418B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99418B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5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71DF-CD4B-40AF-B21A-EAB0ED2B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15</vt:lpstr>
    </vt:vector>
  </TitlesOfParts>
  <Company>Rusal</Company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15</dc:title>
  <dc:subject/>
  <dc:creator>Prof-SlejovaNA</dc:creator>
  <cp:keywords/>
  <dc:description/>
  <cp:lastModifiedBy>Ukhanova Tatiyana</cp:lastModifiedBy>
  <cp:revision>3</cp:revision>
  <cp:lastPrinted>2018-12-13T18:06:00Z</cp:lastPrinted>
  <dcterms:created xsi:type="dcterms:W3CDTF">2021-01-28T15:03:00Z</dcterms:created>
  <dcterms:modified xsi:type="dcterms:W3CDTF">2021-01-29T05:15:00Z</dcterms:modified>
</cp:coreProperties>
</file>