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95F7" w14:textId="77777777" w:rsidR="00A73C5F" w:rsidRPr="00693694" w:rsidRDefault="00A73C5F" w:rsidP="005B63AF">
      <w:pPr>
        <w:pStyle w:val="a4"/>
        <w:jc w:val="center"/>
        <w:rPr>
          <w:rFonts w:ascii="Times New Roman" w:hAnsi="Times New Roman"/>
          <w:b/>
          <w:shd w:val="clear" w:color="auto" w:fill="FFFFFF"/>
        </w:rPr>
      </w:pPr>
      <w:bookmarkStart w:id="0" w:name="_GoBack"/>
      <w:bookmarkEnd w:id="0"/>
      <w:r w:rsidRPr="00693694">
        <w:rPr>
          <w:rFonts w:ascii="Times New Roman" w:hAnsi="Times New Roman"/>
          <w:b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14:paraId="7B16D2A8" w14:textId="2C3D9F75" w:rsidR="00B610B2" w:rsidRDefault="00A73C5F" w:rsidP="00B610B2">
      <w:pPr>
        <w:spacing w:after="120"/>
        <w:jc w:val="center"/>
        <w:rPr>
          <w:b/>
          <w:bCs/>
          <w:sz w:val="22"/>
          <w:szCs w:val="22"/>
        </w:rPr>
      </w:pPr>
      <w:r w:rsidRPr="00693694">
        <w:rPr>
          <w:b/>
          <w:sz w:val="22"/>
          <w:shd w:val="clear" w:color="auto" w:fill="FFFFFF"/>
        </w:rPr>
        <w:t>Сообщение о существенном факте</w:t>
      </w:r>
      <w:r w:rsidR="00EB664A" w:rsidRPr="00693694">
        <w:rPr>
          <w:b/>
          <w:sz w:val="22"/>
          <w:shd w:val="clear" w:color="auto" w:fill="FFFFFF"/>
        </w:rPr>
        <w:t xml:space="preserve"> </w:t>
      </w:r>
      <w:r w:rsidR="00B610B2" w:rsidRPr="00693694">
        <w:rPr>
          <w:b/>
          <w:sz w:val="22"/>
        </w:rPr>
        <w:t xml:space="preserve">о совершении </w:t>
      </w:r>
      <w:r w:rsidR="00B610B2">
        <w:rPr>
          <w:b/>
          <w:sz w:val="22"/>
          <w:szCs w:val="22"/>
        </w:rPr>
        <w:t>организацией, контролирующей эмитента, крупной</w:t>
      </w:r>
      <w:r w:rsidR="00B610B2" w:rsidRPr="00693694">
        <w:rPr>
          <w:b/>
          <w:sz w:val="22"/>
        </w:rPr>
        <w:t xml:space="preserve"> сделки</w:t>
      </w:r>
    </w:p>
    <w:p w14:paraId="778F011D" w14:textId="5B728C23" w:rsidR="005B63AF" w:rsidRPr="008A6C0A" w:rsidRDefault="005B63AF" w:rsidP="005432DD">
      <w:pPr>
        <w:jc w:val="center"/>
        <w:rPr>
          <w:sz w:val="22"/>
          <w:szCs w:val="22"/>
        </w:rPr>
      </w:pPr>
    </w:p>
    <w:p w14:paraId="442AB450" w14:textId="77777777" w:rsidR="006D4D04" w:rsidRPr="0069369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2"/>
          <w:shd w:val="clear" w:color="auto" w:fill="FFFFFF"/>
        </w:rPr>
      </w:pPr>
      <w:r w:rsidRPr="00693694">
        <w:rPr>
          <w:b/>
          <w:sz w:val="22"/>
          <w:shd w:val="clear" w:color="auto" w:fill="FFFFFF"/>
        </w:rPr>
        <w:t>Общие сведения</w:t>
      </w:r>
      <w:r w:rsidRPr="00693694">
        <w:rPr>
          <w:rStyle w:val="apple-converted-space"/>
          <w:b/>
          <w:sz w:val="22"/>
          <w:shd w:val="clear" w:color="auto" w:fill="FFFFFF"/>
        </w:rPr>
        <w:t> </w:t>
      </w:r>
    </w:p>
    <w:p w14:paraId="355447CA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hd w:val="clear" w:color="auto" w:fill="FFFFFF"/>
        </w:rPr>
      </w:pPr>
      <w:r w:rsidRPr="00693694">
        <w:rPr>
          <w:sz w:val="22"/>
          <w:shd w:val="clear" w:color="auto" w:fill="FFFFFF"/>
        </w:rPr>
        <w:t>1.1. Полное фирменное</w:t>
      </w:r>
      <w:r w:rsidR="0090777E" w:rsidRPr="00693694">
        <w:rPr>
          <w:sz w:val="22"/>
          <w:shd w:val="clear" w:color="auto" w:fill="FFFFFF"/>
        </w:rPr>
        <w:t xml:space="preserve"> наименование эмитента: Публичное</w:t>
      </w:r>
      <w:r w:rsidRPr="00693694">
        <w:rPr>
          <w:sz w:val="22"/>
          <w:shd w:val="clear" w:color="auto" w:fill="FFFFFF"/>
        </w:rPr>
        <w:t xml:space="preserve"> акционерное общество «РУСАЛ Братский алюминиевый завод»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7D52EB58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</w:rPr>
      </w:pPr>
      <w:r w:rsidRPr="00693694">
        <w:rPr>
          <w:sz w:val="22"/>
          <w:shd w:val="clear" w:color="auto" w:fill="FFFFFF"/>
        </w:rPr>
        <w:t>1.2. Сокращенное фи</w:t>
      </w:r>
      <w:r w:rsidR="0090777E" w:rsidRPr="00693694">
        <w:rPr>
          <w:sz w:val="22"/>
          <w:shd w:val="clear" w:color="auto" w:fill="FFFFFF"/>
        </w:rPr>
        <w:t>рменное наименование эмитента: П</w:t>
      </w:r>
      <w:r w:rsidRPr="00693694">
        <w:rPr>
          <w:sz w:val="22"/>
          <w:shd w:val="clear" w:color="auto" w:fill="FFFFFF"/>
        </w:rPr>
        <w:t>АО «РУСАЛ Братск»</w:t>
      </w:r>
      <w:r w:rsidRPr="00693694">
        <w:rPr>
          <w:rStyle w:val="apple-converted-space"/>
          <w:sz w:val="22"/>
          <w:shd w:val="clear" w:color="auto" w:fill="FFFFFF"/>
        </w:rPr>
        <w:t> </w:t>
      </w:r>
      <w:r w:rsidRPr="00693694">
        <w:rPr>
          <w:sz w:val="22"/>
        </w:rPr>
        <w:br/>
      </w:r>
      <w:r w:rsidRPr="00693694">
        <w:rPr>
          <w:sz w:val="22"/>
          <w:shd w:val="clear" w:color="auto" w:fill="FFFFFF"/>
        </w:rPr>
        <w:t xml:space="preserve">1.3. Место нахождения эмитента: 665716, Российская Федерация, </w:t>
      </w:r>
      <w:r w:rsidR="006D4D04" w:rsidRPr="00693694">
        <w:rPr>
          <w:sz w:val="22"/>
          <w:shd w:val="clear" w:color="auto" w:fill="FFFFFF"/>
        </w:rPr>
        <w:t xml:space="preserve">Иркутская область, г. </w:t>
      </w:r>
      <w:r w:rsidRPr="00693694">
        <w:rPr>
          <w:sz w:val="22"/>
          <w:shd w:val="clear" w:color="auto" w:fill="FFFFFF"/>
        </w:rPr>
        <w:t>Братск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711B7C70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</w:rPr>
      </w:pPr>
      <w:r w:rsidRPr="00693694">
        <w:rPr>
          <w:sz w:val="22"/>
          <w:shd w:val="clear" w:color="auto" w:fill="FFFFFF"/>
        </w:rPr>
        <w:t>1.4. ОГРН эмитента: 1023800836377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4681BD10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</w:rPr>
      </w:pPr>
      <w:r w:rsidRPr="00693694">
        <w:rPr>
          <w:sz w:val="22"/>
          <w:shd w:val="clear" w:color="auto" w:fill="FFFFFF"/>
        </w:rPr>
        <w:t>1.5. ИНН эмитента: 3803100054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7A3EE9B3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</w:rPr>
      </w:pPr>
      <w:r w:rsidRPr="00693694">
        <w:rPr>
          <w:sz w:val="22"/>
          <w:shd w:val="clear" w:color="auto" w:fill="FFFFFF"/>
        </w:rPr>
        <w:t>1.6. Уникальный код эмитента, присвоенный регистрирующим органом: 20075-F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5A985E87" w14:textId="77777777" w:rsidR="008D4710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z w:val="22"/>
          <w:shd w:val="clear" w:color="auto" w:fill="FFFFFF"/>
        </w:rPr>
      </w:pPr>
      <w:r w:rsidRPr="00693694">
        <w:rPr>
          <w:sz w:val="22"/>
          <w:shd w:val="clear" w:color="auto" w:fill="FFFFFF"/>
        </w:rPr>
        <w:t>1.7. Адрес страницы в сети Интернет, испол</w:t>
      </w:r>
      <w:r w:rsidR="006D4D04" w:rsidRPr="00693694">
        <w:rPr>
          <w:sz w:val="22"/>
          <w:shd w:val="clear" w:color="auto" w:fill="FFFFFF"/>
        </w:rPr>
        <w:t xml:space="preserve">ьзуемой эмитентом для раскрытия </w:t>
      </w:r>
      <w:r w:rsidRPr="00693694">
        <w:rPr>
          <w:sz w:val="22"/>
          <w:shd w:val="clear" w:color="auto" w:fill="FFFFFF"/>
        </w:rPr>
        <w:t xml:space="preserve">информации: </w:t>
      </w:r>
      <w:hyperlink r:id="rId5" w:history="1">
        <w:r w:rsidR="008D4710" w:rsidRPr="00693694">
          <w:rPr>
            <w:rStyle w:val="a3"/>
            <w:color w:val="auto"/>
            <w:sz w:val="22"/>
            <w:shd w:val="clear" w:color="auto" w:fill="FFFFFF"/>
          </w:rPr>
          <w:t>http://braz-rusal.ru/</w:t>
        </w:r>
      </w:hyperlink>
      <w:r w:rsidRPr="00693694">
        <w:rPr>
          <w:sz w:val="22"/>
          <w:shd w:val="clear" w:color="auto" w:fill="FFFFFF"/>
        </w:rPr>
        <w:t xml:space="preserve">, </w:t>
      </w:r>
      <w:hyperlink r:id="rId6" w:history="1">
        <w:r w:rsidR="008D4710" w:rsidRPr="00693694">
          <w:rPr>
            <w:rStyle w:val="a3"/>
            <w:color w:val="auto"/>
            <w:sz w:val="22"/>
            <w:shd w:val="clear" w:color="auto" w:fill="FFFFFF"/>
          </w:rPr>
          <w:t>http://www.e-disclosure.ru/portal/company.aspx?id=838</w:t>
        </w:r>
      </w:hyperlink>
    </w:p>
    <w:p w14:paraId="226F4D77" w14:textId="77777777" w:rsidR="004A263F" w:rsidRPr="00693694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hd w:val="clear" w:color="auto" w:fill="FFFFFF"/>
        </w:rPr>
      </w:pPr>
      <w:r w:rsidRPr="00693694">
        <w:rPr>
          <w:sz w:val="22"/>
          <w:shd w:val="clear" w:color="auto" w:fill="FFFFFF"/>
        </w:rPr>
        <w:t>1.8. Дата наступления события (существенного факта), о котором составлено сообщение (если применимо)</w:t>
      </w:r>
      <w:r w:rsidR="007B19FC" w:rsidRPr="00693694">
        <w:rPr>
          <w:sz w:val="22"/>
          <w:shd w:val="clear" w:color="auto" w:fill="FFFFFF"/>
        </w:rPr>
        <w:t xml:space="preserve">: </w:t>
      </w:r>
      <w:r w:rsidR="00C3502E" w:rsidRPr="00693694">
        <w:rPr>
          <w:sz w:val="22"/>
          <w:shd w:val="clear" w:color="auto" w:fill="FFFFFF"/>
        </w:rPr>
        <w:t>0</w:t>
      </w:r>
      <w:r w:rsidR="00823FEA" w:rsidRPr="00693694">
        <w:rPr>
          <w:sz w:val="22"/>
          <w:shd w:val="clear" w:color="auto" w:fill="FFFFFF"/>
        </w:rPr>
        <w:t xml:space="preserve">5 </w:t>
      </w:r>
      <w:r w:rsidR="00C3502E" w:rsidRPr="00693694">
        <w:rPr>
          <w:sz w:val="22"/>
          <w:shd w:val="clear" w:color="auto" w:fill="FFFFFF"/>
        </w:rPr>
        <w:t>ноября</w:t>
      </w:r>
      <w:r w:rsidR="00B3655A" w:rsidRPr="00693694">
        <w:rPr>
          <w:sz w:val="22"/>
          <w:shd w:val="clear" w:color="auto" w:fill="FFFFFF"/>
        </w:rPr>
        <w:t xml:space="preserve"> 2019</w:t>
      </w:r>
      <w:r w:rsidRPr="00693694">
        <w:rPr>
          <w:sz w:val="22"/>
          <w:shd w:val="clear" w:color="auto" w:fill="FFFFFF"/>
        </w:rPr>
        <w:t xml:space="preserve"> г.</w:t>
      </w:r>
    </w:p>
    <w:p w14:paraId="22FBA1B4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</w:rPr>
      </w:pPr>
      <w:r w:rsidRPr="00693694">
        <w:rPr>
          <w:b/>
          <w:sz w:val="22"/>
          <w:shd w:val="clear" w:color="auto" w:fill="FFFFFF"/>
        </w:rPr>
        <w:t>2. Содержание сообщения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2A773735" w14:textId="77777777" w:rsidR="006D4D04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</w:rPr>
      </w:pPr>
      <w:r w:rsidRPr="00693694">
        <w:rPr>
          <w:sz w:val="22"/>
          <w:shd w:val="clear" w:color="auto" w:fill="FFFFFF"/>
        </w:rPr>
        <w:t>Настоящее сообщение публикуется в порядке коррект</w:t>
      </w:r>
      <w:r w:rsidR="006D4D04" w:rsidRPr="00693694">
        <w:rPr>
          <w:sz w:val="22"/>
          <w:shd w:val="clear" w:color="auto" w:fill="FFFFFF"/>
        </w:rPr>
        <w:t xml:space="preserve">ировки информации, содержащейся </w:t>
      </w:r>
      <w:r w:rsidRPr="00693694">
        <w:rPr>
          <w:sz w:val="22"/>
          <w:shd w:val="clear" w:color="auto" w:fill="FFFFFF"/>
        </w:rPr>
        <w:t>в ранее опубликованном сообщении.</w:t>
      </w:r>
      <w:r w:rsidRPr="00693694">
        <w:rPr>
          <w:rStyle w:val="apple-converted-space"/>
          <w:sz w:val="22"/>
          <w:shd w:val="clear" w:color="auto" w:fill="FFFFFF"/>
        </w:rPr>
        <w:t> </w:t>
      </w:r>
    </w:p>
    <w:p w14:paraId="3A8DA44D" w14:textId="77777777" w:rsidR="00015031" w:rsidRPr="0069369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hd w:val="clear" w:color="auto" w:fill="FFFFFF"/>
        </w:rPr>
      </w:pPr>
      <w:r w:rsidRPr="00693694">
        <w:rPr>
          <w:sz w:val="22"/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14:paraId="66E4F2B7" w14:textId="77777777" w:rsidR="00C3502E" w:rsidRPr="00693694" w:rsidRDefault="005937DC" w:rsidP="00B3655A">
      <w:pPr>
        <w:rPr>
          <w:sz w:val="22"/>
        </w:rPr>
      </w:pPr>
      <w:hyperlink r:id="rId7" w:history="1">
        <w:r w:rsidR="00C3502E" w:rsidRPr="00693694">
          <w:rPr>
            <w:rStyle w:val="a3"/>
            <w:sz w:val="22"/>
          </w:rPr>
          <w:t>http://www.e-disclosure.ru/portal/event.aspx?EventId=GskIxsjk7UidLwH8ZBkNAw-B-B</w:t>
        </w:r>
      </w:hyperlink>
    </w:p>
    <w:p w14:paraId="78404106" w14:textId="77777777" w:rsidR="00B3655A" w:rsidRPr="00693694" w:rsidRDefault="00B3655A" w:rsidP="00B3655A">
      <w:pPr>
        <w:rPr>
          <w:rFonts w:ascii="Book Antiqua" w:hAnsi="Book Antiqua"/>
          <w:color w:val="1F497D"/>
          <w:sz w:val="22"/>
        </w:rPr>
      </w:pPr>
      <w:r w:rsidRPr="00693694">
        <w:rPr>
          <w:rFonts w:ascii="Book Antiqua" w:hAnsi="Book Antiqua"/>
          <w:color w:val="1F497D"/>
          <w:sz w:val="22"/>
        </w:rPr>
        <w:t xml:space="preserve"> </w:t>
      </w:r>
    </w:p>
    <w:p w14:paraId="540B8E9F" w14:textId="77777777" w:rsidR="00CB465B" w:rsidRPr="00693694" w:rsidRDefault="00A36265" w:rsidP="006D4D04">
      <w:pPr>
        <w:pStyle w:val="a4"/>
        <w:jc w:val="both"/>
        <w:rPr>
          <w:rFonts w:ascii="Times New Roman" w:hAnsi="Times New Roman"/>
          <w:shd w:val="clear" w:color="auto" w:fill="FFFFFF"/>
        </w:rPr>
      </w:pPr>
      <w:r w:rsidRPr="00693694">
        <w:rPr>
          <w:rFonts w:ascii="Times New Roman" w:hAnsi="Times New Roman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14:paraId="0FDFA747" w14:textId="77777777" w:rsidR="00C74A5F" w:rsidRDefault="00C74A5F" w:rsidP="006D4D04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197D4A6D" w14:textId="77777777" w:rsidR="00C74A5F" w:rsidRPr="00754E93" w:rsidRDefault="00C74A5F" w:rsidP="00C74A5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754E93">
        <w:rPr>
          <w:rFonts w:ascii="Times New Roman" w:hAnsi="Times New Roman" w:cs="Times New Roman"/>
          <w:sz w:val="22"/>
          <w:szCs w:val="22"/>
        </w:rPr>
        <w:t>2.1. Информация не приводится в связи с тем, что совершенная сделка не является крупной сделкой для организации, контролирующей эмитента.</w:t>
      </w:r>
    </w:p>
    <w:p w14:paraId="1221105C" w14:textId="77777777" w:rsidR="00C74A5F" w:rsidRPr="00754E93" w:rsidRDefault="00C74A5F" w:rsidP="006D4D04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4C8CE557" w14:textId="43C603A8" w:rsidR="00C74A5F" w:rsidRPr="00693694" w:rsidRDefault="00C74A5F" w:rsidP="00C74A5F">
      <w:pPr>
        <w:pStyle w:val="a4"/>
        <w:jc w:val="both"/>
        <w:rPr>
          <w:rFonts w:ascii="Times New Roman" w:hAnsi="Times New Roman"/>
          <w:shd w:val="clear" w:color="auto" w:fill="FFFFFF"/>
        </w:rPr>
      </w:pPr>
      <w:r w:rsidRPr="00754E93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693694">
        <w:rPr>
          <w:rFonts w:ascii="Times New Roman" w:hAnsi="Times New Roman"/>
          <w:shd w:val="clear" w:color="auto" w:fill="FFFFFF"/>
        </w:rPr>
        <w:t xml:space="preserve">Краткое описание внесенных изменений: </w:t>
      </w:r>
    </w:p>
    <w:p w14:paraId="1E872D28" w14:textId="77777777" w:rsidR="00C74A5F" w:rsidRDefault="00C74A5F" w:rsidP="00C74A5F">
      <w:pPr>
        <w:pStyle w:val="a4"/>
        <w:jc w:val="both"/>
        <w:rPr>
          <w:rFonts w:ascii="Times New Roman" w:hAnsi="Times New Roman" w:cs="Times New Roman"/>
          <w:u w:val="single"/>
          <w:shd w:val="clear" w:color="auto" w:fill="FFFFFF"/>
        </w:rPr>
      </w:pPr>
    </w:p>
    <w:p w14:paraId="45340A08" w14:textId="3CAE4288" w:rsidR="00C74A5F" w:rsidRPr="00C74A5F" w:rsidRDefault="00C74A5F" w:rsidP="00C74A5F">
      <w:pPr>
        <w:pStyle w:val="a4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>
        <w:rPr>
          <w:rFonts w:ascii="Times New Roman" w:hAnsi="Times New Roman" w:cs="Times New Roman"/>
          <w:u w:val="single"/>
          <w:shd w:val="clear" w:color="auto" w:fill="FFFFFF"/>
        </w:rPr>
        <w:t>Текст следующего содержания</w:t>
      </w:r>
      <w:r w:rsidRPr="00B30BEF">
        <w:rPr>
          <w:rFonts w:ascii="Times New Roman" w:hAnsi="Times New Roman" w:cs="Times New Roman"/>
          <w:u w:val="single"/>
          <w:shd w:val="clear" w:color="auto" w:fill="FFFFFF"/>
        </w:rPr>
        <w:t>:</w:t>
      </w:r>
    </w:p>
    <w:p w14:paraId="54470635" w14:textId="77777777" w:rsidR="00C74A5F" w:rsidRPr="00C74A5F" w:rsidRDefault="00C74A5F" w:rsidP="00C74A5F">
      <w:pPr>
        <w:pStyle w:val="ConsPlusTitle"/>
        <w:jc w:val="both"/>
        <w:outlineLvl w:val="0"/>
        <w:rPr>
          <w:b w:val="0"/>
          <w:sz w:val="22"/>
          <w:szCs w:val="22"/>
          <w:highlight w:val="yellow"/>
          <w:u w:val="single"/>
          <w:shd w:val="clear" w:color="auto" w:fill="FFFFFF"/>
        </w:rPr>
      </w:pPr>
    </w:p>
    <w:p w14:paraId="5F118C2B" w14:textId="77777777" w:rsidR="000330D9" w:rsidRPr="00C57DDA" w:rsidRDefault="00C74A5F" w:rsidP="000330D9">
      <w:pPr>
        <w:pStyle w:val="ConsPlusNormal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54E93">
        <w:rPr>
          <w:rFonts w:ascii="Times New Roman" w:hAnsi="Times New Roman" w:cs="Times New Roman"/>
          <w:b/>
          <w:i/>
          <w:sz w:val="22"/>
          <w:szCs w:val="22"/>
        </w:rPr>
        <w:t>«</w:t>
      </w:r>
      <w:r w:rsidR="000330D9">
        <w:rPr>
          <w:rFonts w:ascii="Times New Roman" w:hAnsi="Times New Roman" w:cs="Times New Roman"/>
          <w:sz w:val="22"/>
          <w:szCs w:val="22"/>
        </w:rPr>
        <w:t>2.1. В</w:t>
      </w:r>
      <w:r w:rsidR="000330D9" w:rsidRPr="00BB05F1">
        <w:rPr>
          <w:rFonts w:ascii="Times New Roman" w:hAnsi="Times New Roman" w:cs="Times New Roman"/>
          <w:sz w:val="22"/>
          <w:szCs w:val="22"/>
        </w:rPr>
        <w:t>ид организации, которая совершила крупную сделку</w:t>
      </w:r>
      <w:r w:rsidR="000330D9" w:rsidRPr="00C57DDA">
        <w:rPr>
          <w:rFonts w:ascii="Times New Roman" w:hAnsi="Times New Roman" w:cs="Times New Roman"/>
          <w:i/>
          <w:sz w:val="22"/>
          <w:szCs w:val="22"/>
        </w:rPr>
        <w:t>:</w:t>
      </w:r>
      <w:r w:rsidR="000330D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330D9" w:rsidRPr="00C57DDA">
        <w:rPr>
          <w:rFonts w:ascii="Times New Roman" w:hAnsi="Times New Roman" w:cs="Times New Roman"/>
          <w:b/>
          <w:i/>
          <w:sz w:val="22"/>
          <w:szCs w:val="22"/>
        </w:rPr>
        <w:t>организация, контролирующая эмитента</w:t>
      </w:r>
      <w:r w:rsidR="000330D9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3F3B2E21" w14:textId="77777777" w:rsidR="000330D9" w:rsidRPr="00196533" w:rsidRDefault="000330D9" w:rsidP="000330D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BB05F1">
        <w:rPr>
          <w:rFonts w:ascii="Times New Roman" w:hAnsi="Times New Roman" w:cs="Times New Roman"/>
          <w:sz w:val="22"/>
          <w:szCs w:val="22"/>
        </w:rPr>
        <w:t>олное фирменное наименование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96533">
        <w:rPr>
          <w:rFonts w:ascii="Times New Roman" w:hAnsi="Times New Roman" w:cs="Times New Roman"/>
          <w:sz w:val="22"/>
          <w:szCs w:val="22"/>
        </w:rPr>
        <w:t xml:space="preserve"> 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>Акционерное общество «РУССКИЙ АЛЮМИНИЙ»</w:t>
      </w:r>
      <w:r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5C658007" w14:textId="77777777" w:rsidR="000330D9" w:rsidRDefault="000330D9" w:rsidP="000330D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нахождения: 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>Российская Федерация, 121096, г. Москва, ул. Василисы Кожиной, д. 1, этаж 2, помещение 24.</w:t>
      </w:r>
    </w:p>
    <w:p w14:paraId="3CED76CB" w14:textId="77777777" w:rsidR="000330D9" w:rsidRDefault="000330D9" w:rsidP="000330D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B05F1">
        <w:rPr>
          <w:rFonts w:ascii="Times New Roman" w:hAnsi="Times New Roman" w:cs="Times New Roman"/>
          <w:sz w:val="22"/>
          <w:szCs w:val="22"/>
        </w:rPr>
        <w:t>ИНН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BB05F1">
        <w:rPr>
          <w:rFonts w:ascii="Times New Roman" w:hAnsi="Times New Roman" w:cs="Times New Roman"/>
          <w:sz w:val="22"/>
          <w:szCs w:val="22"/>
        </w:rPr>
        <w:t xml:space="preserve"> 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>7709329253</w:t>
      </w:r>
    </w:p>
    <w:p w14:paraId="7CF312F3" w14:textId="77777777" w:rsidR="000330D9" w:rsidRPr="00BB05F1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B05F1">
        <w:rPr>
          <w:rFonts w:ascii="Times New Roman" w:hAnsi="Times New Roman" w:cs="Times New Roman"/>
          <w:sz w:val="22"/>
          <w:szCs w:val="22"/>
        </w:rPr>
        <w:t>ОГРН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>1027700467332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42ADFE1" w14:textId="77777777" w:rsidR="000330D9" w:rsidRPr="00AA3BBF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К</w:t>
      </w:r>
      <w:r w:rsidRPr="00BB05F1">
        <w:rPr>
          <w:rFonts w:ascii="Times New Roman" w:hAnsi="Times New Roman" w:cs="Times New Roman"/>
          <w:sz w:val="22"/>
          <w:szCs w:val="22"/>
        </w:rPr>
        <w:t>атегория сделки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>крупная сделка</w:t>
      </w:r>
    </w:p>
    <w:p w14:paraId="4BDB67EB" w14:textId="632E4341" w:rsidR="000330D9" w:rsidRPr="003319E7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693694">
        <w:rPr>
          <w:rFonts w:ascii="Times New Roman" w:hAnsi="Times New Roman"/>
          <w:sz w:val="22"/>
        </w:rPr>
        <w:t xml:space="preserve">2.3. Вид и предмет сделки: </w:t>
      </w:r>
      <w:r w:rsidRPr="00693694">
        <w:rPr>
          <w:rFonts w:ascii="Times New Roman" w:hAnsi="Times New Roman"/>
          <w:b/>
          <w:i/>
          <w:sz w:val="22"/>
        </w:rPr>
        <w:t xml:space="preserve">совершение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крупной</w:t>
      </w:r>
      <w:r w:rsidRPr="00693694">
        <w:rPr>
          <w:rFonts w:ascii="Times New Roman" w:hAnsi="Times New Roman"/>
          <w:b/>
          <w:i/>
          <w:sz w:val="22"/>
        </w:rPr>
        <w:t xml:space="preserve"> сделки (взаимосвязанных сделок, совокупная цена которых составляет от 25 до 50 процентов балансовой стоимости активов Общества, определенной по данным бухгалтерской отчетности Общества на последнюю отчетную дату)</w:t>
      </w:r>
    </w:p>
    <w:p w14:paraId="3B2E9084" w14:textId="77777777" w:rsidR="000330D9" w:rsidRDefault="000330D9" w:rsidP="000330D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С</w:t>
      </w:r>
      <w:r w:rsidRPr="00BB05F1">
        <w:rPr>
          <w:rFonts w:ascii="Times New Roman" w:hAnsi="Times New Roman" w:cs="Times New Roman"/>
          <w:sz w:val="22"/>
          <w:szCs w:val="22"/>
        </w:rPr>
        <w:t>одержание сделки, в том числе гражданские права и обязанности, на установление, изменение или прекращение которых направлена совершенная сделк</w:t>
      </w:r>
      <w:r>
        <w:rPr>
          <w:rFonts w:ascii="Times New Roman" w:hAnsi="Times New Roman" w:cs="Times New Roman"/>
          <w:sz w:val="22"/>
          <w:szCs w:val="22"/>
        </w:rPr>
        <w:t xml:space="preserve">а: </w:t>
      </w:r>
    </w:p>
    <w:p w14:paraId="046AF23F" w14:textId="77777777" w:rsidR="000330D9" w:rsidRPr="00AA3BBF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54928">
        <w:rPr>
          <w:rFonts w:ascii="Times New Roman" w:hAnsi="Times New Roman" w:cs="Times New Roman"/>
          <w:sz w:val="22"/>
          <w:szCs w:val="22"/>
        </w:rPr>
        <w:t>З</w:t>
      </w:r>
      <w:r w:rsidRPr="00D54928">
        <w:rPr>
          <w:rFonts w:ascii="Times New Roman" w:hAnsi="Times New Roman" w:cs="Times New Roman"/>
          <w:b/>
          <w:i/>
          <w:sz w:val="22"/>
          <w:szCs w:val="22"/>
        </w:rPr>
        <w:t>аключение и подписание следующих документов (далее – «Сделка»):</w:t>
      </w:r>
    </w:p>
    <w:p w14:paraId="15DC09A5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1.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Договор поручительства и гарантии возмещения потерь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Russian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Guarantee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» в Кредитном договоре, основные условия которого изложены ниже) (путем подписания отдельного документа и/или включения соответствующего условия в Кредитный договор) (далее – «Договор поручительства»), подлежащий заключению между, среди прочих, </w:t>
      </w:r>
      <w:r>
        <w:rPr>
          <w:rFonts w:ascii="Times New Roman" w:hAnsi="Times New Roman" w:cs="Times New Roman"/>
          <w:b/>
          <w:i/>
          <w:sz w:val="22"/>
          <w:szCs w:val="22"/>
        </w:rPr>
        <w:t>Акционерным обществом «РУССКИЙ АЛЮМИНИЙ» (ДАЛЕЕ –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Общество</w:t>
      </w:r>
      <w:r>
        <w:rPr>
          <w:rFonts w:ascii="Times New Roman" w:hAnsi="Times New Roman" w:cs="Times New Roman"/>
          <w:b/>
          <w:i/>
          <w:sz w:val="22"/>
          <w:szCs w:val="22"/>
        </w:rPr>
        <w:t>)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, ПАО «РУСАЛ Братск», АО «РУСАЛ Красноярск», АО «РУСАЛ Новокузнецк», АО «РУСАЛ Саяногорск, АО «РУСАЛ Урал» и АО «ОК РУСАЛ ТД» в качестве Российских поручителей (в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lastRenderedPageBreak/>
        <w:t>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Russian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Guarantor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» в Кредитном договоре) и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ING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Bank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.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V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. в качестве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гента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по кредиту и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гента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по обеспечению (в соответствии с определением терминов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Facility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Agent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и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Security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Agent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» в Кредитном договоре), в соответствии с положениями которого Общество 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безотзывно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>, безусловно и солидарно с другими Российскими поручителями гарантирует своевременное исполнение Обязанными лицами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Obligor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 обязательств по Финансовым документам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Finance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Documents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 и обязуется незамедлительно и по требованию оплатить любые суммы, должные и не уплаченные любым Обязанным лицом в отношении любого Финансового документа, а также предоставляет гарантию в отношении незамедлительного возмещения каждой Финансовой стороне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Finance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Parties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 любых издержек, убытков и размера ответственности, которые такая Финансовая сторона может понести в результате неуплаты причитающихся сумм Обязанным лицом по причине неисполнимости, недействительности или незаконности обязательств такого лица.</w:t>
      </w:r>
    </w:p>
    <w:p w14:paraId="356ABF9B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2.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Договоры об уступке прав по Экспортным и 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Толлинговым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контрактам (в соответствии с определениями терминов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Producer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Assignments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и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Export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Party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Assignment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» в Кредитном договоре), подлежащие заключению между Обществом и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ING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Bank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.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V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. в качестве Агента по обеспечению, которые регулируют порядок уступки Агенту по обеспечению прав и выручки Общества по Экспортным и 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Толлинговым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контрактам (в соответствии с определениями терминов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Export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Contracts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и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Tolling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Contracts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договоре), стороной по которым является Общество, в целях обеспечения исполнения Обеспеченных обязательств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Secured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Obligations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договоре). Обеспеченные обязательства включают все обязательства Обязанных лиц в пользу любой Обеспеченной стороны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Secured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Parties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</w:t>
      </w:r>
      <w:r>
        <w:rPr>
          <w:rFonts w:ascii="Times New Roman" w:hAnsi="Times New Roman" w:cs="Times New Roman"/>
          <w:b/>
          <w:i/>
          <w:sz w:val="22"/>
          <w:szCs w:val="22"/>
        </w:rPr>
        <w:t>воре) по Финансовым документам.</w:t>
      </w:r>
    </w:p>
    <w:p w14:paraId="5B456DC8" w14:textId="77777777" w:rsidR="000330D9" w:rsidRPr="003319E7" w:rsidRDefault="000330D9" w:rsidP="000330D9">
      <w:pPr>
        <w:pStyle w:val="ConsPlusNormal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3.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Договоры залога прав по договорам залогового (банковского) счета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Russian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Account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Pledge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договоре), в соответствии с положениями каждого из которых Общество предоставляет Агенту по обеспечению, являющемуся залогодержателем, право после наступления События обращения взыскания (как данный термин определен в Договорах залога прав по договорам залогового (банковского) счета) обратить взыскание на права по соответствующему договору залогового (банковского) счета путем списания денежных средств с соответствующих Российских счетов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Russian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Collection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Account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договоре), открытых в Паспортных банках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Passport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Bank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договоре), в размере любых и всех сумм по Обеспечиваемым обязательствам (как данный термин определен в Договорах залога прав по договорам з</w:t>
      </w:r>
      <w:r>
        <w:rPr>
          <w:rFonts w:ascii="Times New Roman" w:hAnsi="Times New Roman" w:cs="Times New Roman"/>
          <w:b/>
          <w:i/>
          <w:sz w:val="22"/>
          <w:szCs w:val="22"/>
        </w:rPr>
        <w:t>алогового (банковского) счета).</w:t>
      </w:r>
    </w:p>
    <w:p w14:paraId="11916EA5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319E7">
        <w:rPr>
          <w:rFonts w:ascii="Times New Roman" w:hAnsi="Times New Roman" w:cs="Times New Roman"/>
          <w:b/>
          <w:i/>
          <w:sz w:val="22"/>
          <w:szCs w:val="22"/>
        </w:rPr>
        <w:t>Во избежание сомнений, Обеспечиваемые обязательства по Договорам залога прав по договорам залогового (банковского) счета, включают, помимо прочего: (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i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) обязательства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United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Company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Rusal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Plc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по Кредитному договору и (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ii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) обязательства Общест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ва по Договору поручительства. </w:t>
      </w:r>
    </w:p>
    <w:p w14:paraId="134E7361" w14:textId="77777777" w:rsidR="000330D9" w:rsidRPr="003319E7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4.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Иные договоры, соглашения и документы, которые могут быть заключены в связи с предоставлением кредита по Кредитному договору, предусмотренные Кредитным договором, указанными выше документами и/или оформляемые и/или совершаемые Обществом в связи с Кредитным договором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и указанными выше документами.</w:t>
      </w:r>
    </w:p>
    <w:p w14:paraId="43AD15FF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proofErr w:type="gramStart"/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II</w:t>
      </w:r>
      <w:r>
        <w:rPr>
          <w:rFonts w:ascii="Times New Roman" w:hAnsi="Times New Roman" w:cs="Times New Roman"/>
          <w:b/>
          <w:i/>
          <w:sz w:val="22"/>
          <w:szCs w:val="22"/>
        </w:rPr>
        <w:t>. П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од Кредитным договором понимается Договор 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предэкспортного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финансирования, привязанный к показателям устойчивого развития группы, </w:t>
      </w:r>
      <w:r w:rsidRPr="007D512B">
        <w:rPr>
          <w:rFonts w:ascii="Times New Roman" w:hAnsi="Times New Roman" w:cs="Times New Roman"/>
          <w:b/>
          <w:i/>
          <w:sz w:val="22"/>
          <w:szCs w:val="22"/>
        </w:rPr>
        <w:t>от 25 октября 2019 года</w:t>
      </w:r>
      <w:r w:rsidRPr="00F17F1A">
        <w:rPr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между, среди прочих лиц,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United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Company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Rusal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Plc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в качестве заемщика,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ING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Bank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N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.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V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. в качестве Агента по кредиту, Агента по обеспечению,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Natixis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в качестве Агента по закупке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Offtake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Agent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договоре), а также поименованных в договоре Кредиторов на следующих условиях:</w:t>
      </w:r>
      <w:proofErr w:type="gramEnd"/>
    </w:p>
    <w:p w14:paraId="6231B598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1.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Общая сумма кредита: до </w:t>
      </w:r>
      <w:r w:rsidRPr="00AD0672">
        <w:rPr>
          <w:rFonts w:ascii="Times New Roman" w:hAnsi="Times New Roman" w:cs="Times New Roman"/>
          <w:b/>
          <w:i/>
          <w:sz w:val="22"/>
          <w:szCs w:val="22"/>
        </w:rPr>
        <w:t>1 085 000 000 (одного миллиарда восьмидесяти пяти миллионов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) долларов США, которая может состоять из одного или нескольких траншей в сумме, определяемой в соответствии с Кредитным </w:t>
      </w:r>
      <w:proofErr w:type="gramStart"/>
      <w:r w:rsidRPr="003319E7">
        <w:rPr>
          <w:rFonts w:ascii="Times New Roman" w:hAnsi="Times New Roman" w:cs="Times New Roman"/>
          <w:b/>
          <w:i/>
          <w:sz w:val="22"/>
          <w:szCs w:val="22"/>
        </w:rPr>
        <w:t>договором .</w:t>
      </w:r>
      <w:proofErr w:type="gramEnd"/>
    </w:p>
    <w:p w14:paraId="28107FE2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2.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Период доступности кредита: в течение 30 Рабочих дней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Business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Days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» в Кредитном договоре)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даты выполнения всех соответствующих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lastRenderedPageBreak/>
        <w:t>условий, предусмотренных Кредитным договором (как предусмотрено в определении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Financial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Closing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Date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договоре).</w:t>
      </w:r>
    </w:p>
    <w:p w14:paraId="1C06B7A7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3.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Использование кредита: каждая выборка должна быть направлена Заемщиком на погашение общей задолженности по Существующему договору 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</w:rPr>
        <w:t>предэкспортного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финансирования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Existing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PXF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договоре).</w:t>
      </w:r>
    </w:p>
    <w:p w14:paraId="48C03E23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4.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Окончательный срок погашения: окончательный срок погашения наступает спустя 60 месяцев с даты первой Выборки (в соответствии с определением термина «</w:t>
      </w:r>
      <w:proofErr w:type="spellStart"/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Utilisation</w:t>
      </w:r>
      <w:proofErr w:type="spellEnd"/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» в Кредитном договоре). </w:t>
      </w:r>
    </w:p>
    <w:p w14:paraId="121C8E99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5.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Порядок погашения: 12 (двенадцатью) равными квартальными платежами, подлежащими уплате в соответствующую Запланированную дату погашения (в соответствии с определением термина «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Scheduled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Repayment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319E7">
        <w:rPr>
          <w:rFonts w:ascii="Times New Roman" w:hAnsi="Times New Roman" w:cs="Times New Roman"/>
          <w:b/>
          <w:i/>
          <w:sz w:val="22"/>
          <w:szCs w:val="22"/>
          <w:lang w:val="en-US"/>
        </w:rPr>
        <w:t>Date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» в Кредитном договоре).</w:t>
      </w:r>
    </w:p>
    <w:p w14:paraId="6C973ACD" w14:textId="77777777" w:rsidR="000330D9" w:rsidRPr="003319E7" w:rsidRDefault="000330D9" w:rsidP="000330D9">
      <w:pPr>
        <w:pStyle w:val="ConsPlusNormal"/>
        <w:spacing w:after="6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6.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Досрочное погашение: в Кредитном договоре предусматриваются случаи обязательного и добровольного досрочного погашения.</w:t>
      </w:r>
    </w:p>
    <w:p w14:paraId="00B7C5A9" w14:textId="77777777" w:rsidR="000330D9" w:rsidRPr="003319E7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7. </w:t>
      </w:r>
      <w:r w:rsidRPr="003319E7">
        <w:rPr>
          <w:rFonts w:ascii="Times New Roman" w:hAnsi="Times New Roman" w:cs="Times New Roman"/>
          <w:b/>
          <w:i/>
          <w:sz w:val="22"/>
          <w:szCs w:val="22"/>
        </w:rPr>
        <w:t>Иные суммы, уплачиваемые или подлежащие уплате в соответствии с Кредитным договором или в связи с ним.</w:t>
      </w:r>
    </w:p>
    <w:p w14:paraId="25268930" w14:textId="77777777" w:rsidR="000330D9" w:rsidRPr="00AF0083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 С</w:t>
      </w:r>
      <w:r w:rsidRPr="00BB05F1">
        <w:rPr>
          <w:rFonts w:ascii="Times New Roman" w:hAnsi="Times New Roman" w:cs="Times New Roman"/>
          <w:sz w:val="22"/>
          <w:szCs w:val="22"/>
        </w:rPr>
        <w:t xml:space="preserve">рок </w:t>
      </w:r>
      <w:r w:rsidRPr="00AF0083">
        <w:rPr>
          <w:rFonts w:ascii="Times New Roman" w:hAnsi="Times New Roman" w:cs="Times New Roman"/>
          <w:sz w:val="22"/>
          <w:szCs w:val="22"/>
        </w:rPr>
        <w:t>исполнения обязательств по сделке, стороны и выгодоприобретатели по сделке, размер сделки в денежном выражении и в процентах от стоимости активов организации, контролирующей эмитента, которая совершила сделку:</w:t>
      </w:r>
    </w:p>
    <w:p w14:paraId="5269B108" w14:textId="77777777" w:rsidR="000330D9" w:rsidRPr="00AA3BBF" w:rsidRDefault="000330D9" w:rsidP="000330D9">
      <w:pPr>
        <w:autoSpaceDE/>
        <w:autoSpaceDN/>
        <w:spacing w:after="120"/>
        <w:jc w:val="both"/>
        <w:rPr>
          <w:b/>
          <w:i/>
          <w:sz w:val="22"/>
          <w:szCs w:val="22"/>
        </w:rPr>
      </w:pPr>
      <w:r w:rsidRPr="00AF0083">
        <w:rPr>
          <w:sz w:val="22"/>
          <w:szCs w:val="22"/>
        </w:rPr>
        <w:t>Срок исполнения обязательств по сделке</w:t>
      </w:r>
      <w:r w:rsidRPr="006B59E5">
        <w:rPr>
          <w:b/>
          <w:i/>
          <w:sz w:val="22"/>
          <w:szCs w:val="22"/>
        </w:rPr>
        <w:t xml:space="preserve">: срок погашения наступает спустя 60 месяцев с </w:t>
      </w:r>
      <w:r>
        <w:rPr>
          <w:b/>
          <w:i/>
          <w:sz w:val="22"/>
          <w:szCs w:val="22"/>
        </w:rPr>
        <w:t xml:space="preserve">даты первой выборки </w:t>
      </w:r>
      <w:r w:rsidRPr="007D7D3A">
        <w:rPr>
          <w:b/>
          <w:i/>
          <w:sz w:val="22"/>
          <w:szCs w:val="22"/>
        </w:rPr>
        <w:t>(в соответствии с определением термина «</w:t>
      </w:r>
      <w:proofErr w:type="spellStart"/>
      <w:r w:rsidRPr="007D7D3A">
        <w:rPr>
          <w:b/>
          <w:i/>
          <w:sz w:val="22"/>
          <w:szCs w:val="22"/>
        </w:rPr>
        <w:t>Ut</w:t>
      </w:r>
      <w:r>
        <w:rPr>
          <w:b/>
          <w:i/>
          <w:sz w:val="22"/>
          <w:szCs w:val="22"/>
        </w:rPr>
        <w:t>ilisation</w:t>
      </w:r>
      <w:proofErr w:type="spellEnd"/>
      <w:r>
        <w:rPr>
          <w:b/>
          <w:i/>
          <w:sz w:val="22"/>
          <w:szCs w:val="22"/>
        </w:rPr>
        <w:t>» в Кредитном договоре).</w:t>
      </w:r>
    </w:p>
    <w:p w14:paraId="3BB966E5" w14:textId="77777777" w:rsidR="000330D9" w:rsidRDefault="000330D9" w:rsidP="000330D9">
      <w:pPr>
        <w:autoSpaceDE/>
        <w:autoSpaceDN/>
        <w:spacing w:after="120"/>
        <w:jc w:val="both"/>
        <w:rPr>
          <w:b/>
          <w:i/>
          <w:sz w:val="22"/>
          <w:szCs w:val="22"/>
        </w:rPr>
      </w:pPr>
      <w:r w:rsidRPr="00AA3BBF">
        <w:rPr>
          <w:b/>
          <w:i/>
          <w:sz w:val="22"/>
          <w:szCs w:val="22"/>
        </w:rPr>
        <w:t xml:space="preserve">Сторонами и/или выгодоприобретателями по Договору поручительства и гарантии возмещения потерь являются: Общество, </w:t>
      </w:r>
      <w:r w:rsidRPr="0088785C">
        <w:rPr>
          <w:b/>
          <w:i/>
          <w:sz w:val="22"/>
          <w:szCs w:val="22"/>
          <w:lang w:val="en-US"/>
        </w:rPr>
        <w:t>United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Company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Rusal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Plc</w:t>
      </w:r>
      <w:r w:rsidRPr="00AA3BBF">
        <w:rPr>
          <w:b/>
          <w:i/>
          <w:sz w:val="22"/>
          <w:szCs w:val="22"/>
        </w:rPr>
        <w:t xml:space="preserve">, ПАО «РУСАЛ Братск», АО «РУСАЛ Красноярск», АО «РУСАЛ Новокузнецк», АО «РУСАЛ Саяногорск, АО «РУСАЛ Урал», АО «ОК РУСАЛ ТД», </w:t>
      </w:r>
      <w:r w:rsidRPr="0088785C">
        <w:rPr>
          <w:b/>
          <w:i/>
          <w:sz w:val="22"/>
          <w:szCs w:val="22"/>
          <w:lang w:val="en-US"/>
        </w:rPr>
        <w:t>RTI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Limited</w:t>
      </w:r>
      <w:r w:rsidRPr="00AA3BBF">
        <w:rPr>
          <w:b/>
          <w:i/>
          <w:sz w:val="22"/>
          <w:szCs w:val="22"/>
        </w:rPr>
        <w:t xml:space="preserve">, </w:t>
      </w:r>
      <w:r w:rsidRPr="0088785C">
        <w:rPr>
          <w:b/>
          <w:i/>
          <w:sz w:val="22"/>
          <w:szCs w:val="22"/>
          <w:lang w:val="en-US"/>
        </w:rPr>
        <w:t>RS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International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GmbH</w:t>
      </w:r>
      <w:r w:rsidRPr="00AA3BBF">
        <w:rPr>
          <w:b/>
          <w:i/>
          <w:sz w:val="22"/>
          <w:szCs w:val="22"/>
        </w:rPr>
        <w:t xml:space="preserve">, </w:t>
      </w:r>
      <w:r w:rsidRPr="0088785C">
        <w:rPr>
          <w:b/>
          <w:i/>
          <w:sz w:val="22"/>
          <w:szCs w:val="22"/>
          <w:lang w:val="en-US"/>
        </w:rPr>
        <w:t>Rusal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Marketing</w:t>
      </w:r>
      <w:r w:rsidRPr="00AA3BBF">
        <w:rPr>
          <w:b/>
          <w:i/>
          <w:sz w:val="22"/>
          <w:szCs w:val="22"/>
        </w:rPr>
        <w:t xml:space="preserve"> </w:t>
      </w:r>
      <w:r w:rsidRPr="0088785C">
        <w:rPr>
          <w:b/>
          <w:i/>
          <w:sz w:val="22"/>
          <w:szCs w:val="22"/>
          <w:lang w:val="en-US"/>
        </w:rPr>
        <w:t>GmbH</w:t>
      </w:r>
      <w:r w:rsidRPr="00AA3BBF">
        <w:rPr>
          <w:b/>
          <w:i/>
          <w:sz w:val="22"/>
          <w:szCs w:val="22"/>
        </w:rPr>
        <w:t>, Финансовые стороны.</w:t>
      </w:r>
    </w:p>
    <w:p w14:paraId="52AD3F66" w14:textId="77777777" w:rsidR="000330D9" w:rsidRDefault="000330D9" w:rsidP="000330D9">
      <w:pPr>
        <w:autoSpaceDE/>
        <w:autoSpaceDN/>
        <w:spacing w:after="120"/>
        <w:jc w:val="both"/>
        <w:rPr>
          <w:b/>
          <w:i/>
          <w:sz w:val="22"/>
          <w:szCs w:val="22"/>
        </w:rPr>
      </w:pPr>
      <w:r w:rsidRPr="0088785C">
        <w:rPr>
          <w:b/>
          <w:i/>
          <w:sz w:val="22"/>
          <w:szCs w:val="22"/>
        </w:rPr>
        <w:t xml:space="preserve">Сторонами и/или выгодоприобретателями по Договорам об уступке прав по Экспортным и </w:t>
      </w:r>
      <w:proofErr w:type="spellStart"/>
      <w:r w:rsidRPr="0088785C">
        <w:rPr>
          <w:b/>
          <w:i/>
          <w:sz w:val="22"/>
          <w:szCs w:val="22"/>
        </w:rPr>
        <w:t>Толлинговым</w:t>
      </w:r>
      <w:proofErr w:type="spellEnd"/>
      <w:r w:rsidRPr="0088785C">
        <w:rPr>
          <w:b/>
          <w:i/>
          <w:sz w:val="22"/>
          <w:szCs w:val="22"/>
        </w:rPr>
        <w:t xml:space="preserve"> контрактам являются: Общество, </w:t>
      </w:r>
      <w:proofErr w:type="spellStart"/>
      <w:r w:rsidRPr="0088785C">
        <w:rPr>
          <w:b/>
          <w:i/>
          <w:sz w:val="22"/>
          <w:szCs w:val="22"/>
        </w:rPr>
        <w:t>United</w:t>
      </w:r>
      <w:proofErr w:type="spellEnd"/>
      <w:r w:rsidRPr="0088785C">
        <w:rPr>
          <w:b/>
          <w:i/>
          <w:sz w:val="22"/>
          <w:szCs w:val="22"/>
        </w:rPr>
        <w:t xml:space="preserve"> </w:t>
      </w:r>
      <w:proofErr w:type="spellStart"/>
      <w:r w:rsidRPr="0088785C">
        <w:rPr>
          <w:b/>
          <w:i/>
          <w:sz w:val="22"/>
          <w:szCs w:val="22"/>
        </w:rPr>
        <w:t>Company</w:t>
      </w:r>
      <w:proofErr w:type="spellEnd"/>
      <w:r w:rsidRPr="0088785C">
        <w:rPr>
          <w:b/>
          <w:i/>
          <w:sz w:val="22"/>
          <w:szCs w:val="22"/>
        </w:rPr>
        <w:t xml:space="preserve"> Rusal </w:t>
      </w:r>
      <w:proofErr w:type="spellStart"/>
      <w:r w:rsidRPr="0088785C">
        <w:rPr>
          <w:b/>
          <w:i/>
          <w:sz w:val="22"/>
          <w:szCs w:val="22"/>
        </w:rPr>
        <w:t>Plc</w:t>
      </w:r>
      <w:proofErr w:type="spellEnd"/>
      <w:r w:rsidRPr="0088785C">
        <w:rPr>
          <w:b/>
          <w:i/>
          <w:sz w:val="22"/>
          <w:szCs w:val="22"/>
        </w:rPr>
        <w:t>, Обеспеченные стороны.</w:t>
      </w:r>
    </w:p>
    <w:p w14:paraId="5B660E96" w14:textId="77777777" w:rsidR="000330D9" w:rsidRDefault="000330D9" w:rsidP="000330D9">
      <w:pPr>
        <w:autoSpaceDE/>
        <w:autoSpaceDN/>
        <w:spacing w:after="120"/>
        <w:jc w:val="both"/>
        <w:rPr>
          <w:b/>
          <w:i/>
          <w:sz w:val="22"/>
          <w:szCs w:val="22"/>
        </w:rPr>
      </w:pPr>
      <w:r w:rsidRPr="0088785C">
        <w:rPr>
          <w:b/>
          <w:i/>
          <w:sz w:val="22"/>
          <w:szCs w:val="22"/>
        </w:rPr>
        <w:t xml:space="preserve">Сторонами и/или выгодоприобретателями по Договорам залога прав по договорам залогового (банковского) счета являются: Общество, </w:t>
      </w:r>
      <w:proofErr w:type="spellStart"/>
      <w:r w:rsidRPr="0088785C">
        <w:rPr>
          <w:b/>
          <w:i/>
          <w:sz w:val="22"/>
          <w:szCs w:val="22"/>
        </w:rPr>
        <w:t>United</w:t>
      </w:r>
      <w:proofErr w:type="spellEnd"/>
      <w:r w:rsidRPr="0088785C">
        <w:rPr>
          <w:b/>
          <w:i/>
          <w:sz w:val="22"/>
          <w:szCs w:val="22"/>
        </w:rPr>
        <w:t xml:space="preserve"> </w:t>
      </w:r>
      <w:proofErr w:type="spellStart"/>
      <w:r w:rsidRPr="0088785C">
        <w:rPr>
          <w:b/>
          <w:i/>
          <w:sz w:val="22"/>
          <w:szCs w:val="22"/>
        </w:rPr>
        <w:t>Company</w:t>
      </w:r>
      <w:proofErr w:type="spellEnd"/>
      <w:r w:rsidRPr="0088785C">
        <w:rPr>
          <w:b/>
          <w:i/>
          <w:sz w:val="22"/>
          <w:szCs w:val="22"/>
        </w:rPr>
        <w:t xml:space="preserve"> Rusal </w:t>
      </w:r>
      <w:proofErr w:type="spellStart"/>
      <w:r w:rsidRPr="0088785C">
        <w:rPr>
          <w:b/>
          <w:i/>
          <w:sz w:val="22"/>
          <w:szCs w:val="22"/>
        </w:rPr>
        <w:t>Plc</w:t>
      </w:r>
      <w:proofErr w:type="spellEnd"/>
      <w:r w:rsidRPr="0088785C">
        <w:rPr>
          <w:b/>
          <w:i/>
          <w:sz w:val="22"/>
          <w:szCs w:val="22"/>
        </w:rPr>
        <w:t>, соответствующий Паспортный банк, Финансовые стороны.</w:t>
      </w:r>
    </w:p>
    <w:p w14:paraId="754A64DC" w14:textId="77777777" w:rsidR="000330D9" w:rsidRPr="0088785C" w:rsidRDefault="000330D9" w:rsidP="000330D9">
      <w:pPr>
        <w:autoSpaceDE/>
        <w:autoSpaceDN/>
        <w:spacing w:after="120"/>
        <w:jc w:val="both"/>
        <w:rPr>
          <w:b/>
          <w:i/>
          <w:sz w:val="22"/>
          <w:szCs w:val="22"/>
        </w:rPr>
      </w:pPr>
      <w:r w:rsidRPr="0088785C">
        <w:rPr>
          <w:b/>
          <w:i/>
          <w:sz w:val="22"/>
          <w:szCs w:val="22"/>
        </w:rPr>
        <w:t xml:space="preserve">Сторонами и/или выгодоприобретателями по Договорам залога акций являются: Общество, </w:t>
      </w:r>
      <w:proofErr w:type="spellStart"/>
      <w:r w:rsidRPr="0088785C">
        <w:rPr>
          <w:b/>
          <w:i/>
          <w:sz w:val="22"/>
          <w:szCs w:val="22"/>
        </w:rPr>
        <w:t>United</w:t>
      </w:r>
      <w:proofErr w:type="spellEnd"/>
      <w:r w:rsidRPr="0088785C">
        <w:rPr>
          <w:b/>
          <w:i/>
          <w:sz w:val="22"/>
          <w:szCs w:val="22"/>
        </w:rPr>
        <w:t xml:space="preserve"> </w:t>
      </w:r>
      <w:proofErr w:type="spellStart"/>
      <w:r w:rsidRPr="0088785C">
        <w:rPr>
          <w:b/>
          <w:i/>
          <w:sz w:val="22"/>
          <w:szCs w:val="22"/>
        </w:rPr>
        <w:t>Company</w:t>
      </w:r>
      <w:proofErr w:type="spellEnd"/>
      <w:r w:rsidRPr="0088785C">
        <w:rPr>
          <w:b/>
          <w:i/>
          <w:sz w:val="22"/>
          <w:szCs w:val="22"/>
        </w:rPr>
        <w:t xml:space="preserve"> Rusal </w:t>
      </w:r>
      <w:proofErr w:type="spellStart"/>
      <w:r w:rsidRPr="0088785C">
        <w:rPr>
          <w:b/>
          <w:i/>
          <w:sz w:val="22"/>
          <w:szCs w:val="22"/>
        </w:rPr>
        <w:t>Plc</w:t>
      </w:r>
      <w:proofErr w:type="spellEnd"/>
      <w:r w:rsidRPr="0088785C">
        <w:rPr>
          <w:b/>
          <w:i/>
          <w:sz w:val="22"/>
          <w:szCs w:val="22"/>
        </w:rPr>
        <w:t>, Обеспеченные стороны.</w:t>
      </w:r>
    </w:p>
    <w:p w14:paraId="420C39FE" w14:textId="77777777" w:rsidR="000330D9" w:rsidRPr="00C839EA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57DDA">
        <w:rPr>
          <w:rFonts w:ascii="Times New Roman" w:hAnsi="Times New Roman" w:cs="Times New Roman"/>
          <w:sz w:val="22"/>
          <w:szCs w:val="22"/>
        </w:rPr>
        <w:t xml:space="preserve">Размер сделки в денежном выражении и в процентах от стоимости активов </w:t>
      </w:r>
      <w:r w:rsidRPr="00BB05F1">
        <w:rPr>
          <w:rFonts w:ascii="Times New Roman" w:hAnsi="Times New Roman" w:cs="Times New Roman"/>
          <w:sz w:val="22"/>
          <w:szCs w:val="22"/>
        </w:rPr>
        <w:t xml:space="preserve">организации, контролирующей эмитента, </w:t>
      </w:r>
      <w:r>
        <w:rPr>
          <w:rFonts w:ascii="Times New Roman" w:hAnsi="Times New Roman" w:cs="Times New Roman"/>
          <w:sz w:val="22"/>
          <w:szCs w:val="22"/>
        </w:rPr>
        <w:t>которая совершила сделку</w:t>
      </w:r>
      <w:r w:rsidRPr="00C57DDA">
        <w:rPr>
          <w:rFonts w:ascii="Times New Roman" w:hAnsi="Times New Roman" w:cs="Times New Roman"/>
          <w:sz w:val="22"/>
          <w:szCs w:val="22"/>
        </w:rPr>
        <w:t xml:space="preserve">: </w:t>
      </w:r>
      <w:r w:rsidRPr="00AD0672">
        <w:rPr>
          <w:rFonts w:ascii="Times New Roman" w:hAnsi="Times New Roman" w:cs="Times New Roman"/>
          <w:b/>
          <w:i/>
          <w:sz w:val="22"/>
          <w:szCs w:val="22"/>
        </w:rPr>
        <w:t>до 1 085 000 000 (одного миллиарда восьмидесяти пяти миллионов</w:t>
      </w:r>
      <w:r w:rsidRPr="007D7D3A">
        <w:rPr>
          <w:rFonts w:ascii="Times New Roman" w:hAnsi="Times New Roman" w:cs="Times New Roman"/>
          <w:b/>
          <w:i/>
          <w:sz w:val="22"/>
          <w:szCs w:val="22"/>
        </w:rPr>
        <w:t xml:space="preserve">) долларов США 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 xml:space="preserve">или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18,50 </w:t>
      </w:r>
      <w:r w:rsidRPr="00AF0083">
        <w:rPr>
          <w:rFonts w:ascii="Times New Roman" w:hAnsi="Times New Roman" w:cs="Times New Roman"/>
          <w:b/>
          <w:i/>
          <w:sz w:val="22"/>
          <w:szCs w:val="22"/>
        </w:rPr>
        <w:t>% от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 xml:space="preserve"> стоимости активов эмитента.</w:t>
      </w:r>
    </w:p>
    <w:p w14:paraId="6A1998AB" w14:textId="77777777" w:rsidR="000330D9" w:rsidRPr="00C57DDA" w:rsidRDefault="000330D9" w:rsidP="000330D9">
      <w:pPr>
        <w:spacing w:after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2.6. С</w:t>
      </w:r>
      <w:r w:rsidRPr="00BB05F1">
        <w:rPr>
          <w:sz w:val="22"/>
          <w:szCs w:val="22"/>
        </w:rPr>
        <w:t>тоимость активов организации, контролирующей эмитента, которая совершила сделку,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</w:t>
      </w:r>
      <w:r>
        <w:rPr>
          <w:sz w:val="22"/>
          <w:szCs w:val="22"/>
        </w:rPr>
        <w:t xml:space="preserve">нсовой) </w:t>
      </w:r>
      <w:proofErr w:type="gramStart"/>
      <w:r>
        <w:rPr>
          <w:sz w:val="22"/>
          <w:szCs w:val="22"/>
        </w:rPr>
        <w:t xml:space="preserve">отчетности:  </w:t>
      </w:r>
      <w:r w:rsidRPr="00AC34AD">
        <w:rPr>
          <w:b/>
          <w:i/>
          <w:sz w:val="22"/>
          <w:szCs w:val="22"/>
        </w:rPr>
        <w:t>по</w:t>
      </w:r>
      <w:proofErr w:type="gramEnd"/>
      <w:r w:rsidRPr="00AC34AD">
        <w:rPr>
          <w:b/>
          <w:i/>
          <w:sz w:val="22"/>
          <w:szCs w:val="22"/>
        </w:rPr>
        <w:t xml:space="preserve"> состоянию на 3</w:t>
      </w:r>
      <w:r>
        <w:rPr>
          <w:b/>
          <w:i/>
          <w:sz w:val="22"/>
          <w:szCs w:val="22"/>
        </w:rPr>
        <w:t>0</w:t>
      </w:r>
      <w:r w:rsidRPr="00AC34AD">
        <w:rPr>
          <w:b/>
          <w:i/>
          <w:sz w:val="22"/>
          <w:szCs w:val="22"/>
        </w:rPr>
        <w:t>.</w:t>
      </w:r>
      <w:r>
        <w:rPr>
          <w:b/>
          <w:i/>
          <w:sz w:val="22"/>
          <w:szCs w:val="22"/>
        </w:rPr>
        <w:t>09</w:t>
      </w:r>
      <w:r w:rsidRPr="00AC34AD">
        <w:rPr>
          <w:b/>
          <w:i/>
          <w:sz w:val="22"/>
          <w:szCs w:val="22"/>
        </w:rPr>
        <w:t>.201</w:t>
      </w:r>
      <w:r>
        <w:rPr>
          <w:b/>
          <w:i/>
          <w:sz w:val="22"/>
          <w:szCs w:val="22"/>
        </w:rPr>
        <w:t xml:space="preserve">9 г. </w:t>
      </w:r>
      <w:r w:rsidRPr="00AC34AD">
        <w:rPr>
          <w:sz w:val="22"/>
          <w:szCs w:val="22"/>
        </w:rPr>
        <w:t>–</w:t>
      </w:r>
      <w:r w:rsidRPr="00EC55B1">
        <w:rPr>
          <w:b/>
          <w:i/>
          <w:sz w:val="22"/>
          <w:szCs w:val="22"/>
        </w:rPr>
        <w:t>374 389 472 403</w:t>
      </w:r>
      <w:r>
        <w:rPr>
          <w:sz w:val="22"/>
          <w:szCs w:val="22"/>
        </w:rPr>
        <w:t xml:space="preserve"> </w:t>
      </w:r>
      <w:r w:rsidRPr="00AC34AD">
        <w:rPr>
          <w:b/>
          <w:bCs/>
          <w:i/>
          <w:iCs/>
          <w:sz w:val="22"/>
          <w:szCs w:val="22"/>
        </w:rPr>
        <w:t>руб.</w:t>
      </w:r>
    </w:p>
    <w:p w14:paraId="7302B854" w14:textId="77777777" w:rsidR="000330D9" w:rsidRPr="00C839EA" w:rsidRDefault="000330D9" w:rsidP="000330D9">
      <w:pPr>
        <w:pStyle w:val="ConsPlusNormal"/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2.7. Д</w:t>
      </w:r>
      <w:r w:rsidRPr="00BB05F1">
        <w:rPr>
          <w:rFonts w:ascii="Times New Roman" w:hAnsi="Times New Roman" w:cs="Times New Roman"/>
          <w:sz w:val="22"/>
          <w:szCs w:val="22"/>
        </w:rPr>
        <w:t>ата совершен</w:t>
      </w:r>
      <w:r>
        <w:rPr>
          <w:rFonts w:ascii="Times New Roman" w:hAnsi="Times New Roman" w:cs="Times New Roman"/>
          <w:sz w:val="22"/>
          <w:szCs w:val="22"/>
        </w:rPr>
        <w:t xml:space="preserve">ия сделки (заключения договора): </w:t>
      </w:r>
      <w:r>
        <w:rPr>
          <w:rFonts w:ascii="Times New Roman" w:hAnsi="Times New Roman" w:cs="Times New Roman"/>
          <w:b/>
          <w:i/>
          <w:sz w:val="22"/>
          <w:szCs w:val="22"/>
        </w:rPr>
        <w:t>30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  <w:t>октября 2019</w:t>
      </w:r>
      <w:r w:rsidRPr="00C57DDA">
        <w:rPr>
          <w:rFonts w:ascii="Times New Roman" w:hAnsi="Times New Roman" w:cs="Times New Roman"/>
          <w:b/>
          <w:i/>
          <w:sz w:val="22"/>
          <w:szCs w:val="22"/>
        </w:rPr>
        <w:t xml:space="preserve"> г.</w:t>
      </w:r>
    </w:p>
    <w:p w14:paraId="53F523B1" w14:textId="31154E85" w:rsidR="00754E93" w:rsidRPr="00693694" w:rsidRDefault="000330D9" w:rsidP="00693694">
      <w:pPr>
        <w:pStyle w:val="ConsPlusNormal"/>
        <w:jc w:val="both"/>
        <w:rPr>
          <w:rFonts w:ascii="Times New Roman" w:hAnsi="Times New Roman"/>
          <w:b/>
          <w:i/>
          <w:shd w:val="clear" w:color="auto" w:fill="FFFFFF"/>
        </w:rPr>
      </w:pPr>
      <w:r w:rsidRPr="00693694">
        <w:rPr>
          <w:rFonts w:ascii="Times New Roman" w:hAnsi="Times New Roman"/>
          <w:sz w:val="22"/>
        </w:rPr>
        <w:t xml:space="preserve">2.8. Сведения об одобрении сделки в случае, когда такая сделка была одобрена уполномоченным органом управления организации, контролирующей эмитента, которая совершила сделку: </w:t>
      </w:r>
      <w:r w:rsidRPr="00693694">
        <w:rPr>
          <w:rFonts w:ascii="Times New Roman" w:hAnsi="Times New Roman"/>
          <w:b/>
          <w:i/>
          <w:sz w:val="22"/>
        </w:rPr>
        <w:t>решение Совета Директоров Акционерного общества «РУССКИЙ АЛЮМИНИЙ», Протокол № б/н от 25 октября 2019 г</w:t>
      </w:r>
      <w:r w:rsidRPr="00C839EA">
        <w:rPr>
          <w:rFonts w:ascii="Times New Roman" w:hAnsi="Times New Roman" w:cs="Times New Roman"/>
          <w:b/>
          <w:i/>
          <w:sz w:val="22"/>
          <w:szCs w:val="22"/>
        </w:rPr>
        <w:t>.</w:t>
      </w:r>
      <w:r w:rsidR="00754E93" w:rsidRPr="00754E93">
        <w:rPr>
          <w:rFonts w:ascii="Times New Roman" w:hAnsi="Times New Roman" w:cs="Times New Roman"/>
          <w:b/>
          <w:i/>
          <w:shd w:val="clear" w:color="auto" w:fill="FFFFFF"/>
        </w:rPr>
        <w:t>»</w:t>
      </w:r>
    </w:p>
    <w:p w14:paraId="5448ADBD" w14:textId="77777777" w:rsidR="00754E93" w:rsidRPr="00693694" w:rsidRDefault="00754E93" w:rsidP="00234B33">
      <w:pPr>
        <w:pStyle w:val="a4"/>
        <w:jc w:val="both"/>
        <w:rPr>
          <w:rFonts w:ascii="Times New Roman" w:hAnsi="Times New Roman"/>
          <w:b/>
          <w:i/>
          <w:shd w:val="clear" w:color="auto" w:fill="FFFFFF"/>
        </w:rPr>
      </w:pPr>
    </w:p>
    <w:p w14:paraId="01316577" w14:textId="3DF152A2" w:rsidR="00754E93" w:rsidRPr="00754E93" w:rsidRDefault="00754E93" w:rsidP="00234B3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754E93">
        <w:rPr>
          <w:rFonts w:ascii="Times New Roman" w:hAnsi="Times New Roman" w:cs="Times New Roman"/>
          <w:shd w:val="clear" w:color="auto" w:fill="FFFFFF"/>
        </w:rPr>
        <w:t>заменен на текст следующего содержания:</w:t>
      </w:r>
    </w:p>
    <w:p w14:paraId="06DCE93E" w14:textId="5476F2FB" w:rsidR="00E57C66" w:rsidRPr="00754E93" w:rsidDel="005432DD" w:rsidRDefault="00E57C66" w:rsidP="00234B33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73A9A281" w14:textId="7B1D4F5E" w:rsidR="00754E93" w:rsidRPr="00E62811" w:rsidRDefault="00754E93" w:rsidP="00754E93">
      <w:pPr>
        <w:pStyle w:val="ConsPlusNormal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Pr="00E62811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.1. </w:t>
      </w:r>
      <w:r w:rsidRPr="00E62811">
        <w:rPr>
          <w:rFonts w:ascii="Times New Roman" w:hAnsi="Times New Roman" w:cs="Times New Roman"/>
          <w:b/>
          <w:i/>
          <w:sz w:val="22"/>
          <w:szCs w:val="22"/>
        </w:rPr>
        <w:t xml:space="preserve">Информация не приводится в связи с тем, что совершенная сделка не является крупной сделкой для </w:t>
      </w:r>
      <w:r w:rsidRPr="00C74A5F">
        <w:rPr>
          <w:rFonts w:ascii="Times New Roman" w:hAnsi="Times New Roman" w:cs="Times New Roman"/>
          <w:b/>
          <w:i/>
          <w:sz w:val="22"/>
          <w:szCs w:val="22"/>
        </w:rPr>
        <w:t>организации, контролирующ</w:t>
      </w:r>
      <w:r w:rsidRPr="00E62811">
        <w:rPr>
          <w:rFonts w:ascii="Times New Roman" w:hAnsi="Times New Roman" w:cs="Times New Roman"/>
          <w:b/>
          <w:i/>
          <w:sz w:val="22"/>
          <w:szCs w:val="22"/>
        </w:rPr>
        <w:t>ей эмитента</w:t>
      </w:r>
      <w:r>
        <w:rPr>
          <w:rFonts w:ascii="Times New Roman" w:hAnsi="Times New Roman" w:cs="Times New Roman"/>
          <w:b/>
          <w:i/>
          <w:sz w:val="22"/>
          <w:szCs w:val="22"/>
        </w:rPr>
        <w:t>»</w:t>
      </w:r>
      <w:r w:rsidRPr="00E62811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14:paraId="3924DDC6" w14:textId="5985261E" w:rsidR="00C3502E" w:rsidRPr="00C74A5F" w:rsidRDefault="00C3502E" w:rsidP="00C3502E">
      <w:pPr>
        <w:pStyle w:val="a4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</w:p>
    <w:p w14:paraId="7127DC90" w14:textId="7109891C" w:rsidR="00D75DD3" w:rsidRPr="00693694" w:rsidRDefault="00D75DD3" w:rsidP="00693694">
      <w:pPr>
        <w:pStyle w:val="ConsPlusTitle"/>
        <w:jc w:val="both"/>
        <w:outlineLvl w:val="0"/>
        <w:rPr>
          <w:b w:val="0"/>
          <w:i/>
          <w:sz w:val="22"/>
        </w:rPr>
      </w:pPr>
    </w:p>
    <w:p w14:paraId="6DA937C9" w14:textId="77777777" w:rsidR="00F46322" w:rsidRPr="00693694" w:rsidRDefault="00F46322" w:rsidP="00F46322">
      <w:pPr>
        <w:pStyle w:val="a4"/>
        <w:jc w:val="both"/>
        <w:rPr>
          <w:rFonts w:ascii="Times New Roman" w:hAnsi="Times New Roman"/>
        </w:rPr>
      </w:pPr>
    </w:p>
    <w:p w14:paraId="093627B3" w14:textId="77777777" w:rsidR="00E470D9" w:rsidRPr="00693694" w:rsidRDefault="00A36265" w:rsidP="005B63AF">
      <w:pPr>
        <w:pStyle w:val="a4"/>
        <w:rPr>
          <w:rFonts w:ascii="Times New Roman" w:hAnsi="Times New Roman"/>
          <w:shd w:val="clear" w:color="auto" w:fill="FFFFFF"/>
        </w:rPr>
      </w:pPr>
      <w:r w:rsidRPr="00693694">
        <w:rPr>
          <w:rFonts w:ascii="Times New Roman" w:hAnsi="Times New Roman"/>
          <w:b/>
          <w:shd w:val="clear" w:color="auto" w:fill="FFFFFF"/>
        </w:rPr>
        <w:t>3. Подпись</w:t>
      </w:r>
      <w:r w:rsidRPr="0069369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693694">
        <w:rPr>
          <w:rFonts w:ascii="Times New Roman" w:hAnsi="Times New Roman"/>
        </w:rPr>
        <w:br/>
      </w:r>
      <w:r w:rsidRPr="00693694">
        <w:rPr>
          <w:rFonts w:ascii="Times New Roman" w:hAnsi="Times New Roman"/>
          <w:shd w:val="clear" w:color="auto" w:fill="FFFFFF"/>
        </w:rPr>
        <w:t>3.1. Управляющий директор</w:t>
      </w:r>
      <w:r w:rsidRPr="0069369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90777E" w:rsidRPr="00693694">
        <w:rPr>
          <w:rFonts w:ascii="Times New Roman" w:hAnsi="Times New Roman"/>
          <w:shd w:val="clear" w:color="auto" w:fill="FFFFFF"/>
        </w:rPr>
        <w:t>П</w:t>
      </w:r>
      <w:r w:rsidRPr="00693694">
        <w:rPr>
          <w:rFonts w:ascii="Times New Roman" w:hAnsi="Times New Roman"/>
          <w:shd w:val="clear" w:color="auto" w:fill="FFFFFF"/>
        </w:rPr>
        <w:t>АО «РУСАЛ Братск»</w:t>
      </w:r>
      <w:r w:rsidR="00185324" w:rsidRPr="00693694">
        <w:rPr>
          <w:rStyle w:val="apple-converted-space"/>
          <w:rFonts w:ascii="Times New Roman" w:hAnsi="Times New Roman"/>
          <w:shd w:val="clear" w:color="auto" w:fill="FFFFFF"/>
        </w:rPr>
        <w:t xml:space="preserve"> _____________</w:t>
      </w:r>
      <w:r w:rsidRPr="00693694">
        <w:rPr>
          <w:rFonts w:ascii="Times New Roman" w:hAnsi="Times New Roman"/>
          <w:shd w:val="clear" w:color="auto" w:fill="FFFFFF"/>
        </w:rPr>
        <w:t>Е.Ю. Зенкин</w:t>
      </w:r>
      <w:r w:rsidRPr="00693694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693694">
        <w:rPr>
          <w:rFonts w:ascii="Times New Roman" w:hAnsi="Times New Roman"/>
        </w:rPr>
        <w:br/>
      </w:r>
      <w:r w:rsidRPr="00693694">
        <w:rPr>
          <w:rFonts w:ascii="Times New Roman" w:hAnsi="Times New Roman"/>
          <w:shd w:val="clear" w:color="auto" w:fill="FFFFFF"/>
        </w:rPr>
        <w:t>3.2. Дата «</w:t>
      </w:r>
      <w:r w:rsidR="00C3502E" w:rsidRPr="00693694">
        <w:rPr>
          <w:rFonts w:ascii="Times New Roman" w:hAnsi="Times New Roman"/>
          <w:shd w:val="clear" w:color="auto" w:fill="FFFFFF"/>
        </w:rPr>
        <w:t>0</w:t>
      </w:r>
      <w:r w:rsidR="00823FEA" w:rsidRPr="00693694">
        <w:rPr>
          <w:rFonts w:ascii="Times New Roman" w:hAnsi="Times New Roman"/>
          <w:shd w:val="clear" w:color="auto" w:fill="FFFFFF"/>
        </w:rPr>
        <w:t>5</w:t>
      </w:r>
      <w:r w:rsidRPr="00693694">
        <w:rPr>
          <w:rFonts w:ascii="Times New Roman" w:hAnsi="Times New Roman"/>
          <w:shd w:val="clear" w:color="auto" w:fill="FFFFFF"/>
        </w:rPr>
        <w:t xml:space="preserve">» </w:t>
      </w:r>
      <w:r w:rsidR="00C3502E" w:rsidRPr="00693694">
        <w:rPr>
          <w:rFonts w:ascii="Times New Roman" w:hAnsi="Times New Roman"/>
          <w:shd w:val="clear" w:color="auto" w:fill="FFFFFF"/>
        </w:rPr>
        <w:t>ноября</w:t>
      </w:r>
      <w:r w:rsidRPr="00693694">
        <w:rPr>
          <w:rFonts w:ascii="Times New Roman" w:hAnsi="Times New Roman"/>
          <w:shd w:val="clear" w:color="auto" w:fill="FFFFFF"/>
        </w:rPr>
        <w:t xml:space="preserve"> 201</w:t>
      </w:r>
      <w:r w:rsidR="00B3655A" w:rsidRPr="00693694">
        <w:rPr>
          <w:rFonts w:ascii="Times New Roman" w:hAnsi="Times New Roman"/>
          <w:shd w:val="clear" w:color="auto" w:fill="FFFFFF"/>
        </w:rPr>
        <w:t>9</w:t>
      </w:r>
      <w:r w:rsidRPr="00693694">
        <w:rPr>
          <w:rFonts w:ascii="Times New Roman" w:hAnsi="Times New Roman"/>
          <w:shd w:val="clear" w:color="auto" w:fill="FFFFFF"/>
        </w:rPr>
        <w:t xml:space="preserve"> г.</w:t>
      </w:r>
      <w:r w:rsidR="00C30957" w:rsidRPr="00693694">
        <w:rPr>
          <w:rFonts w:ascii="Times New Roman" w:hAnsi="Times New Roman"/>
          <w:shd w:val="clear" w:color="auto" w:fill="FFFFFF"/>
        </w:rPr>
        <w:t xml:space="preserve">                                            </w:t>
      </w:r>
      <w:r w:rsidR="00267AD3" w:rsidRPr="00693694">
        <w:rPr>
          <w:rFonts w:ascii="Times New Roman" w:hAnsi="Times New Roman"/>
          <w:shd w:val="clear" w:color="auto" w:fill="FFFFFF"/>
        </w:rPr>
        <w:t xml:space="preserve">   </w:t>
      </w:r>
      <w:r w:rsidR="00712490" w:rsidRPr="00693694">
        <w:rPr>
          <w:rFonts w:ascii="Times New Roman" w:hAnsi="Times New Roman"/>
          <w:shd w:val="clear" w:color="auto" w:fill="FFFFFF"/>
        </w:rPr>
        <w:t xml:space="preserve">    </w:t>
      </w:r>
      <w:r w:rsidR="00C30957" w:rsidRPr="00693694">
        <w:rPr>
          <w:rFonts w:ascii="Times New Roman" w:hAnsi="Times New Roman"/>
          <w:shd w:val="clear" w:color="auto" w:fill="FFFFFF"/>
        </w:rPr>
        <w:t>М. П.</w:t>
      </w:r>
    </w:p>
    <w:sectPr w:rsidR="00E470D9" w:rsidRPr="0069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5"/>
    <w:rsid w:val="00015031"/>
    <w:rsid w:val="00024D00"/>
    <w:rsid w:val="000330D9"/>
    <w:rsid w:val="000B4A74"/>
    <w:rsid w:val="001336D8"/>
    <w:rsid w:val="00185324"/>
    <w:rsid w:val="0019650E"/>
    <w:rsid w:val="001F17ED"/>
    <w:rsid w:val="001F50E4"/>
    <w:rsid w:val="002104A0"/>
    <w:rsid w:val="00222460"/>
    <w:rsid w:val="00234B33"/>
    <w:rsid w:val="002362BF"/>
    <w:rsid w:val="00262024"/>
    <w:rsid w:val="00267AD3"/>
    <w:rsid w:val="002759A6"/>
    <w:rsid w:val="0028489D"/>
    <w:rsid w:val="002F4F5B"/>
    <w:rsid w:val="00351D01"/>
    <w:rsid w:val="00385A92"/>
    <w:rsid w:val="003F0FDE"/>
    <w:rsid w:val="00410C85"/>
    <w:rsid w:val="00444F3B"/>
    <w:rsid w:val="0046704C"/>
    <w:rsid w:val="00480712"/>
    <w:rsid w:val="004A263F"/>
    <w:rsid w:val="004B0731"/>
    <w:rsid w:val="004C51DD"/>
    <w:rsid w:val="00506472"/>
    <w:rsid w:val="005432DD"/>
    <w:rsid w:val="00553F77"/>
    <w:rsid w:val="00556855"/>
    <w:rsid w:val="005937DC"/>
    <w:rsid w:val="00596EFC"/>
    <w:rsid w:val="005B63AF"/>
    <w:rsid w:val="005C1A66"/>
    <w:rsid w:val="006016B9"/>
    <w:rsid w:val="00616C13"/>
    <w:rsid w:val="00693694"/>
    <w:rsid w:val="00694BD3"/>
    <w:rsid w:val="006A3031"/>
    <w:rsid w:val="006C50CA"/>
    <w:rsid w:val="006D4D04"/>
    <w:rsid w:val="00712490"/>
    <w:rsid w:val="0072042E"/>
    <w:rsid w:val="00726726"/>
    <w:rsid w:val="00732B8B"/>
    <w:rsid w:val="00754E93"/>
    <w:rsid w:val="00761CE9"/>
    <w:rsid w:val="00775FBD"/>
    <w:rsid w:val="007B19FC"/>
    <w:rsid w:val="008234CA"/>
    <w:rsid w:val="00823FEA"/>
    <w:rsid w:val="0086147F"/>
    <w:rsid w:val="008A3F08"/>
    <w:rsid w:val="008A6C0A"/>
    <w:rsid w:val="008B5B36"/>
    <w:rsid w:val="008C452C"/>
    <w:rsid w:val="008D4710"/>
    <w:rsid w:val="008F1AF7"/>
    <w:rsid w:val="0090777E"/>
    <w:rsid w:val="00912D59"/>
    <w:rsid w:val="009379FF"/>
    <w:rsid w:val="00967E9A"/>
    <w:rsid w:val="0099364D"/>
    <w:rsid w:val="009F6276"/>
    <w:rsid w:val="00A36265"/>
    <w:rsid w:val="00A73C5F"/>
    <w:rsid w:val="00AB0DEC"/>
    <w:rsid w:val="00AE6C5D"/>
    <w:rsid w:val="00B01B5A"/>
    <w:rsid w:val="00B30BEF"/>
    <w:rsid w:val="00B3655A"/>
    <w:rsid w:val="00B40EA0"/>
    <w:rsid w:val="00B44C74"/>
    <w:rsid w:val="00B610B2"/>
    <w:rsid w:val="00C01F5A"/>
    <w:rsid w:val="00C30957"/>
    <w:rsid w:val="00C30961"/>
    <w:rsid w:val="00C3502E"/>
    <w:rsid w:val="00C74A5F"/>
    <w:rsid w:val="00C94938"/>
    <w:rsid w:val="00CB465B"/>
    <w:rsid w:val="00CC26ED"/>
    <w:rsid w:val="00CD3690"/>
    <w:rsid w:val="00D4623E"/>
    <w:rsid w:val="00D73925"/>
    <w:rsid w:val="00D75DD3"/>
    <w:rsid w:val="00DA7EDD"/>
    <w:rsid w:val="00DE7B26"/>
    <w:rsid w:val="00E57C66"/>
    <w:rsid w:val="00E72258"/>
    <w:rsid w:val="00E8447B"/>
    <w:rsid w:val="00EA2D25"/>
    <w:rsid w:val="00EB664A"/>
    <w:rsid w:val="00F05CFF"/>
    <w:rsid w:val="00F42E5B"/>
    <w:rsid w:val="00F46322"/>
    <w:rsid w:val="00F659F5"/>
    <w:rsid w:val="00F726F7"/>
    <w:rsid w:val="00F8493E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DB6A"/>
  <w15:docId w15:val="{DF662C70-788D-45DB-A4DD-4529E0ED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customStyle="1" w:styleId="ConsPlusNormal">
    <w:name w:val="ConsPlusNormal"/>
    <w:rsid w:val="00C350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350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44F3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44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4F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44F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4F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F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01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AB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event.aspx?EventId=GskIxsjk7UidLwH8ZBkNAw-B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Kinstler Olga</dc:creator>
  <cp:lastModifiedBy>Ukhanova Tatiyana</cp:lastModifiedBy>
  <cp:revision>2</cp:revision>
  <dcterms:created xsi:type="dcterms:W3CDTF">2019-11-05T13:55:00Z</dcterms:created>
  <dcterms:modified xsi:type="dcterms:W3CDTF">2019-11-05T13:55:00Z</dcterms:modified>
</cp:coreProperties>
</file>