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1D" w:rsidRPr="00C72B8F" w:rsidRDefault="00D33C1D" w:rsidP="00D33C1D">
      <w:pPr>
        <w:pStyle w:val="a9"/>
        <w:spacing w:after="0"/>
        <w:rPr>
          <w:sz w:val="22"/>
          <w:szCs w:val="22"/>
        </w:rPr>
      </w:pPr>
      <w:r w:rsidRPr="00C72B8F">
        <w:rPr>
          <w:sz w:val="22"/>
          <w:szCs w:val="22"/>
        </w:rPr>
        <w:t>Сообщение о существенном факте</w:t>
      </w:r>
    </w:p>
    <w:p w:rsidR="00966567" w:rsidRDefault="00966567" w:rsidP="0096656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</w:t>
      </w:r>
      <w:r w:rsidRPr="003504C0">
        <w:rPr>
          <w:b/>
          <w:sz w:val="22"/>
          <w:szCs w:val="22"/>
        </w:rPr>
        <w:t xml:space="preserve"> совершении эмитентом существенной сделки</w:t>
      </w:r>
      <w:r w:rsidR="00B11EE6">
        <w:rPr>
          <w:b/>
          <w:sz w:val="22"/>
          <w:szCs w:val="22"/>
        </w:rPr>
        <w:t>,</w:t>
      </w:r>
    </w:p>
    <w:p w:rsidR="00EE1ACA" w:rsidRPr="00B11EE6" w:rsidRDefault="00B11EE6" w:rsidP="00B11EE6">
      <w:pPr>
        <w:jc w:val="center"/>
        <w:rPr>
          <w:b/>
          <w:bCs/>
          <w:sz w:val="22"/>
          <w:szCs w:val="22"/>
        </w:rPr>
      </w:pPr>
      <w:r w:rsidRPr="007F76CA">
        <w:rPr>
          <w:b/>
          <w:sz w:val="22"/>
          <w:szCs w:val="22"/>
        </w:rPr>
        <w:t>в совершении которой имеется заинтересованность 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0A705B" w:rsidRPr="00C72B8F" w:rsidTr="009E20A1">
        <w:tc>
          <w:tcPr>
            <w:tcW w:w="10234" w:type="dxa"/>
            <w:gridSpan w:val="2"/>
          </w:tcPr>
          <w:p w:rsidR="000A705B" w:rsidRPr="00C72B8F" w:rsidRDefault="000A705B">
            <w:pPr>
              <w:jc w:val="center"/>
              <w:rPr>
                <w:sz w:val="22"/>
                <w:szCs w:val="22"/>
              </w:rPr>
            </w:pPr>
            <w:r w:rsidRPr="00C72B8F">
              <w:rPr>
                <w:sz w:val="22"/>
                <w:szCs w:val="22"/>
              </w:rPr>
              <w:t>1. Общие сведения</w:t>
            </w:r>
          </w:p>
        </w:tc>
      </w:tr>
      <w:tr w:rsidR="000A705B" w:rsidRPr="00C72B8F" w:rsidTr="009E20A1">
        <w:tc>
          <w:tcPr>
            <w:tcW w:w="5117" w:type="dxa"/>
          </w:tcPr>
          <w:p w:rsidR="000A705B" w:rsidRPr="00C72B8F" w:rsidRDefault="000A705B" w:rsidP="00D151E4">
            <w:pPr>
              <w:ind w:left="57" w:right="57"/>
              <w:jc w:val="both"/>
              <w:rPr>
                <w:sz w:val="22"/>
                <w:szCs w:val="22"/>
              </w:rPr>
            </w:pPr>
            <w:r w:rsidRPr="00C72B8F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</w:tcPr>
          <w:p w:rsidR="000A705B" w:rsidRPr="00C72B8F" w:rsidRDefault="00D7309A" w:rsidP="00D151E4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</w:t>
            </w:r>
            <w:r w:rsidR="000A705B" w:rsidRPr="00C72B8F">
              <w:rPr>
                <w:b/>
                <w:bCs/>
                <w:i/>
                <w:iCs/>
                <w:sz w:val="22"/>
                <w:szCs w:val="22"/>
              </w:rPr>
              <w:t>ое акционерное общество</w:t>
            </w:r>
          </w:p>
          <w:p w:rsidR="000A705B" w:rsidRPr="00C72B8F" w:rsidRDefault="000A705B" w:rsidP="00D151E4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C72B8F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0A705B" w:rsidRPr="00C72B8F" w:rsidTr="009E20A1">
        <w:tc>
          <w:tcPr>
            <w:tcW w:w="5117" w:type="dxa"/>
          </w:tcPr>
          <w:p w:rsidR="000A705B" w:rsidRPr="00C72B8F" w:rsidRDefault="000A705B" w:rsidP="00D151E4">
            <w:pPr>
              <w:ind w:left="57" w:right="57"/>
              <w:jc w:val="both"/>
              <w:rPr>
                <w:sz w:val="22"/>
                <w:szCs w:val="22"/>
              </w:rPr>
            </w:pPr>
            <w:r w:rsidRPr="00C72B8F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</w:tcPr>
          <w:p w:rsidR="000A705B" w:rsidRPr="00C72B8F" w:rsidRDefault="00D7309A" w:rsidP="00D151E4">
            <w:pPr>
              <w:keepNext/>
              <w:spacing w:before="120" w:after="120"/>
              <w:ind w:left="57" w:right="57"/>
              <w:outlineLvl w:val="1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</w:t>
            </w:r>
            <w:r w:rsidR="000A705B" w:rsidRPr="00C72B8F">
              <w:rPr>
                <w:b/>
                <w:bCs/>
                <w:i/>
                <w:iCs/>
                <w:sz w:val="22"/>
                <w:szCs w:val="22"/>
              </w:rPr>
              <w:t>АО «РУСАЛ Братск»</w:t>
            </w:r>
          </w:p>
        </w:tc>
      </w:tr>
      <w:tr w:rsidR="000A705B" w:rsidRPr="00C72B8F" w:rsidTr="009E20A1">
        <w:tc>
          <w:tcPr>
            <w:tcW w:w="5117" w:type="dxa"/>
          </w:tcPr>
          <w:p w:rsidR="000A705B" w:rsidRPr="00C72B8F" w:rsidRDefault="000A705B" w:rsidP="00D151E4">
            <w:pPr>
              <w:ind w:left="57" w:right="57"/>
              <w:jc w:val="both"/>
              <w:rPr>
                <w:sz w:val="22"/>
                <w:szCs w:val="22"/>
              </w:rPr>
            </w:pPr>
            <w:r w:rsidRPr="00C72B8F">
              <w:rPr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117" w:type="dxa"/>
          </w:tcPr>
          <w:p w:rsidR="000A705B" w:rsidRPr="00C72B8F" w:rsidRDefault="000A705B" w:rsidP="00D151E4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C72B8F">
              <w:rPr>
                <w:b/>
                <w:bCs/>
                <w:i/>
                <w:iCs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0A705B" w:rsidRPr="00C72B8F" w:rsidTr="009E20A1">
        <w:tc>
          <w:tcPr>
            <w:tcW w:w="5117" w:type="dxa"/>
          </w:tcPr>
          <w:p w:rsidR="000A705B" w:rsidRPr="00C72B8F" w:rsidRDefault="000A705B" w:rsidP="00D151E4">
            <w:pPr>
              <w:ind w:left="57" w:right="57"/>
              <w:jc w:val="both"/>
              <w:rPr>
                <w:sz w:val="22"/>
                <w:szCs w:val="22"/>
              </w:rPr>
            </w:pPr>
            <w:r w:rsidRPr="00C72B8F">
              <w:rPr>
                <w:sz w:val="22"/>
                <w:szCs w:val="22"/>
              </w:rPr>
              <w:t>1.4. ОГРН эмитента</w:t>
            </w:r>
          </w:p>
        </w:tc>
        <w:tc>
          <w:tcPr>
            <w:tcW w:w="5117" w:type="dxa"/>
          </w:tcPr>
          <w:p w:rsidR="000A705B" w:rsidRPr="00C72B8F" w:rsidRDefault="000A705B" w:rsidP="00D151E4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C72B8F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0A705B" w:rsidRPr="00C72B8F" w:rsidTr="009E20A1">
        <w:tc>
          <w:tcPr>
            <w:tcW w:w="5117" w:type="dxa"/>
          </w:tcPr>
          <w:p w:rsidR="000A705B" w:rsidRPr="00C72B8F" w:rsidRDefault="000A705B" w:rsidP="00D151E4">
            <w:pPr>
              <w:ind w:left="57" w:right="57"/>
              <w:jc w:val="both"/>
              <w:rPr>
                <w:sz w:val="22"/>
                <w:szCs w:val="22"/>
              </w:rPr>
            </w:pPr>
            <w:r w:rsidRPr="00C72B8F">
              <w:rPr>
                <w:sz w:val="22"/>
                <w:szCs w:val="22"/>
              </w:rPr>
              <w:t>1.5. ИНН эмитента</w:t>
            </w:r>
          </w:p>
        </w:tc>
        <w:tc>
          <w:tcPr>
            <w:tcW w:w="5117" w:type="dxa"/>
          </w:tcPr>
          <w:p w:rsidR="000A705B" w:rsidRPr="00C72B8F" w:rsidRDefault="000A705B" w:rsidP="00D151E4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C72B8F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0A705B" w:rsidRPr="00C72B8F" w:rsidTr="009E20A1">
        <w:tc>
          <w:tcPr>
            <w:tcW w:w="5117" w:type="dxa"/>
          </w:tcPr>
          <w:p w:rsidR="000A705B" w:rsidRPr="00C72B8F" w:rsidRDefault="000A705B" w:rsidP="00D151E4">
            <w:pPr>
              <w:ind w:left="57" w:right="57"/>
              <w:jc w:val="both"/>
              <w:rPr>
                <w:sz w:val="22"/>
                <w:szCs w:val="22"/>
              </w:rPr>
            </w:pPr>
            <w:r w:rsidRPr="00C72B8F">
              <w:rPr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</w:tcPr>
          <w:p w:rsidR="000A705B" w:rsidRPr="00C72B8F" w:rsidRDefault="000A705B" w:rsidP="00D151E4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C72B8F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0A705B" w:rsidRPr="00C72B8F" w:rsidTr="009E20A1">
        <w:tc>
          <w:tcPr>
            <w:tcW w:w="5117" w:type="dxa"/>
          </w:tcPr>
          <w:p w:rsidR="000A705B" w:rsidRPr="00C72B8F" w:rsidRDefault="000A705B" w:rsidP="00D151E4">
            <w:pPr>
              <w:ind w:left="57" w:right="57"/>
              <w:jc w:val="both"/>
              <w:rPr>
                <w:sz w:val="22"/>
                <w:szCs w:val="22"/>
              </w:rPr>
            </w:pPr>
            <w:r w:rsidRPr="00C72B8F">
              <w:rPr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</w:tcPr>
          <w:p w:rsidR="000A705B" w:rsidRPr="00C72B8F" w:rsidRDefault="00623059" w:rsidP="00D151E4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hyperlink r:id="rId8" w:history="1">
              <w:r w:rsidR="003F3552" w:rsidRPr="008C650E">
                <w:rPr>
                  <w:rStyle w:val="ac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3F3552" w:rsidRPr="008C650E">
              <w:rPr>
                <w:b/>
                <w:i/>
                <w:sz w:val="22"/>
                <w:szCs w:val="22"/>
              </w:rPr>
              <w:t xml:space="preserve">, </w:t>
            </w:r>
            <w:hyperlink r:id="rId9" w:history="1">
              <w:r w:rsidR="003F3552" w:rsidRPr="008C650E">
                <w:rPr>
                  <w:rStyle w:val="ac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E8442E" w:rsidRPr="00C72B8F" w:rsidTr="00D82C89">
        <w:tc>
          <w:tcPr>
            <w:tcW w:w="5117" w:type="dxa"/>
          </w:tcPr>
          <w:p w:rsidR="00E8442E" w:rsidRPr="00C72B8F" w:rsidRDefault="0044642A" w:rsidP="00D151E4">
            <w:pPr>
              <w:ind w:left="57" w:right="57"/>
              <w:jc w:val="both"/>
              <w:rPr>
                <w:sz w:val="22"/>
                <w:szCs w:val="22"/>
              </w:rPr>
            </w:pPr>
            <w:r w:rsidRPr="0044642A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vAlign w:val="center"/>
          </w:tcPr>
          <w:p w:rsidR="00E8442E" w:rsidRPr="0044642A" w:rsidRDefault="00E34C6A" w:rsidP="00B85B39">
            <w:pPr>
              <w:ind w:left="57" w:right="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30</w:t>
            </w:r>
            <w:r w:rsidR="0044642A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="00DB155A">
              <w:rPr>
                <w:b/>
                <w:i/>
                <w:sz w:val="22"/>
                <w:szCs w:val="22"/>
              </w:rPr>
              <w:t>октября</w:t>
            </w:r>
            <w:r w:rsidR="0044642A">
              <w:rPr>
                <w:b/>
                <w:i/>
                <w:sz w:val="22"/>
                <w:szCs w:val="22"/>
              </w:rPr>
              <w:t xml:space="preserve"> </w:t>
            </w:r>
            <w:r w:rsidR="0044642A">
              <w:rPr>
                <w:b/>
                <w:i/>
                <w:sz w:val="22"/>
                <w:szCs w:val="22"/>
                <w:lang w:val="en-US"/>
              </w:rPr>
              <w:t>201</w:t>
            </w:r>
            <w:r w:rsidR="008943F6">
              <w:rPr>
                <w:b/>
                <w:i/>
                <w:sz w:val="22"/>
                <w:szCs w:val="22"/>
              </w:rPr>
              <w:t>9</w:t>
            </w:r>
            <w:r w:rsidR="0044642A">
              <w:rPr>
                <w:b/>
                <w:i/>
                <w:sz w:val="22"/>
                <w:szCs w:val="22"/>
                <w:lang w:val="en-US"/>
              </w:rPr>
              <w:t xml:space="preserve"> г.</w:t>
            </w:r>
          </w:p>
        </w:tc>
      </w:tr>
    </w:tbl>
    <w:p w:rsidR="000A705B" w:rsidRPr="00C72B8F" w:rsidRDefault="000A705B">
      <w:pPr>
        <w:rPr>
          <w:sz w:val="22"/>
          <w:szCs w:val="22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0A705B" w:rsidRPr="00C72B8F" w:rsidTr="009E20A1">
        <w:tc>
          <w:tcPr>
            <w:tcW w:w="10234" w:type="dxa"/>
          </w:tcPr>
          <w:p w:rsidR="000A705B" w:rsidRPr="00C72B8F" w:rsidRDefault="000A705B">
            <w:pPr>
              <w:jc w:val="center"/>
              <w:rPr>
                <w:sz w:val="22"/>
                <w:szCs w:val="22"/>
              </w:rPr>
            </w:pPr>
            <w:r w:rsidRPr="00C72B8F">
              <w:rPr>
                <w:sz w:val="22"/>
                <w:szCs w:val="22"/>
              </w:rPr>
              <w:t>2. Содержание сообщения</w:t>
            </w:r>
          </w:p>
        </w:tc>
      </w:tr>
      <w:tr w:rsidR="000A705B" w:rsidRPr="00C72B8F" w:rsidTr="009E20A1">
        <w:tc>
          <w:tcPr>
            <w:tcW w:w="10234" w:type="dxa"/>
          </w:tcPr>
          <w:p w:rsidR="00407257" w:rsidRPr="00B53895" w:rsidRDefault="00407257" w:rsidP="006F39F1">
            <w:pPr>
              <w:ind w:left="142" w:right="113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623090">
              <w:rPr>
                <w:color w:val="000000"/>
                <w:sz w:val="22"/>
                <w:szCs w:val="22"/>
              </w:rPr>
              <w:t>2.</w:t>
            </w:r>
            <w:r w:rsidRPr="00B53895">
              <w:rPr>
                <w:color w:val="000000"/>
                <w:sz w:val="22"/>
                <w:szCs w:val="22"/>
              </w:rPr>
              <w:t xml:space="preserve">1. Вид организации, которая совершила существенную сделку: </w:t>
            </w:r>
            <w:r w:rsidRPr="00B53895">
              <w:rPr>
                <w:b/>
                <w:i/>
                <w:color w:val="000000"/>
                <w:sz w:val="22"/>
                <w:szCs w:val="22"/>
              </w:rPr>
              <w:t>лицо, предоставившее обеспечение по облигациям эмитента.</w:t>
            </w:r>
          </w:p>
          <w:p w:rsidR="00407257" w:rsidRPr="00B53895" w:rsidRDefault="00407257" w:rsidP="006F39F1">
            <w:pPr>
              <w:ind w:left="142" w:right="113"/>
              <w:jc w:val="both"/>
              <w:rPr>
                <w:color w:val="000000"/>
                <w:sz w:val="22"/>
                <w:szCs w:val="22"/>
              </w:rPr>
            </w:pPr>
            <w:r w:rsidRPr="00B53895">
              <w:rPr>
                <w:color w:val="000000"/>
                <w:sz w:val="22"/>
                <w:szCs w:val="22"/>
              </w:rPr>
              <w:t>2.2. Сведения о лице, предоставившем обеспечение по облигациям эмитента:</w:t>
            </w:r>
          </w:p>
          <w:p w:rsidR="00407257" w:rsidRPr="00B53895" w:rsidRDefault="00407257" w:rsidP="006F39F1">
            <w:pPr>
              <w:ind w:left="142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53895">
              <w:rPr>
                <w:color w:val="000000"/>
                <w:sz w:val="22"/>
                <w:szCs w:val="22"/>
              </w:rPr>
              <w:t xml:space="preserve">Полное фирменное наименование: </w:t>
            </w:r>
            <w:r w:rsidRPr="00B53895">
              <w:rPr>
                <w:b/>
                <w:i/>
                <w:sz w:val="22"/>
                <w:szCs w:val="22"/>
              </w:rPr>
              <w:t>А</w:t>
            </w:r>
            <w:r w:rsidRPr="00B53895">
              <w:rPr>
                <w:b/>
                <w:bCs/>
                <w:i/>
                <w:iCs/>
                <w:sz w:val="22"/>
                <w:szCs w:val="22"/>
              </w:rPr>
              <w:t>кционерное общество «РУСАЛ Красноярский Алюминиевый Завод».</w:t>
            </w:r>
          </w:p>
          <w:p w:rsidR="00407257" w:rsidRPr="00B53895" w:rsidRDefault="00407257" w:rsidP="006F39F1">
            <w:pPr>
              <w:ind w:left="142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53895">
              <w:rPr>
                <w:bCs/>
                <w:iCs/>
                <w:sz w:val="22"/>
                <w:szCs w:val="22"/>
              </w:rPr>
              <w:t xml:space="preserve">Место нахождения: </w:t>
            </w:r>
            <w:r w:rsidRPr="00B53895">
              <w:rPr>
                <w:b/>
                <w:bCs/>
                <w:i/>
                <w:iCs/>
                <w:sz w:val="22"/>
                <w:szCs w:val="22"/>
              </w:rPr>
              <w:t xml:space="preserve">660111, Российская Федерация, г. Красноярск,  ул. Пограничников, 40. </w:t>
            </w:r>
          </w:p>
          <w:p w:rsidR="00407257" w:rsidRPr="00B53895" w:rsidRDefault="00407257" w:rsidP="006F39F1">
            <w:pPr>
              <w:ind w:left="142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53895">
              <w:rPr>
                <w:sz w:val="22"/>
                <w:szCs w:val="22"/>
              </w:rPr>
              <w:t xml:space="preserve">ОГРН: </w:t>
            </w:r>
            <w:r w:rsidRPr="00B53895">
              <w:rPr>
                <w:b/>
                <w:bCs/>
                <w:i/>
                <w:iCs/>
                <w:sz w:val="22"/>
                <w:szCs w:val="22"/>
              </w:rPr>
              <w:t>1022402468010.</w:t>
            </w:r>
          </w:p>
          <w:p w:rsidR="00407257" w:rsidRPr="00B53895" w:rsidRDefault="00407257" w:rsidP="006F39F1">
            <w:pPr>
              <w:ind w:left="142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53895">
              <w:rPr>
                <w:sz w:val="22"/>
                <w:szCs w:val="22"/>
              </w:rPr>
              <w:t xml:space="preserve">ИНН: </w:t>
            </w:r>
            <w:r w:rsidRPr="00B53895">
              <w:rPr>
                <w:b/>
                <w:bCs/>
                <w:i/>
                <w:iCs/>
                <w:sz w:val="22"/>
                <w:szCs w:val="22"/>
              </w:rPr>
              <w:t>2465000141.</w:t>
            </w:r>
          </w:p>
          <w:p w:rsidR="00407257" w:rsidRPr="00B53895" w:rsidRDefault="00407257" w:rsidP="006F39F1">
            <w:pPr>
              <w:ind w:left="142" w:right="113"/>
              <w:jc w:val="both"/>
              <w:rPr>
                <w:sz w:val="22"/>
                <w:szCs w:val="22"/>
              </w:rPr>
            </w:pPr>
            <w:r w:rsidRPr="00B53895">
              <w:rPr>
                <w:sz w:val="22"/>
                <w:szCs w:val="22"/>
              </w:rPr>
              <w:t xml:space="preserve">2.3. Категория сделки: </w:t>
            </w:r>
            <w:r w:rsidR="00DB155A">
              <w:rPr>
                <w:b/>
                <w:i/>
                <w:sz w:val="22"/>
                <w:szCs w:val="22"/>
              </w:rPr>
              <w:t>крупная сделка.</w:t>
            </w:r>
          </w:p>
          <w:p w:rsidR="00407257" w:rsidRPr="00090EE2" w:rsidRDefault="00407257" w:rsidP="006F39F1">
            <w:pPr>
              <w:ind w:left="142" w:right="113"/>
              <w:jc w:val="both"/>
              <w:rPr>
                <w:b/>
                <w:i/>
                <w:sz w:val="22"/>
                <w:szCs w:val="22"/>
              </w:rPr>
            </w:pPr>
            <w:r w:rsidRPr="00AC34AD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AC34AD">
              <w:rPr>
                <w:sz w:val="22"/>
                <w:szCs w:val="22"/>
              </w:rPr>
              <w:t>. Вид и предмет сделки:</w:t>
            </w:r>
            <w:r w:rsidRPr="00C72B8F">
              <w:rPr>
                <w:sz w:val="22"/>
                <w:szCs w:val="22"/>
              </w:rPr>
              <w:t xml:space="preserve"> </w:t>
            </w:r>
            <w:r w:rsidR="00DB155A">
              <w:rPr>
                <w:b/>
                <w:i/>
                <w:sz w:val="22"/>
                <w:szCs w:val="22"/>
              </w:rPr>
              <w:t>Совершение крупной сделки (взаимосвязанных сделок).</w:t>
            </w:r>
          </w:p>
          <w:p w:rsidR="00407257" w:rsidRDefault="00407257" w:rsidP="006F39F1">
            <w:pPr>
              <w:ind w:left="142" w:right="113"/>
              <w:jc w:val="both"/>
              <w:rPr>
                <w:sz w:val="22"/>
                <w:szCs w:val="22"/>
              </w:rPr>
            </w:pPr>
            <w:r w:rsidRPr="00C72B8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</w:t>
            </w:r>
            <w:r w:rsidRPr="00C72B8F">
              <w:rPr>
                <w:sz w:val="22"/>
                <w:szCs w:val="22"/>
              </w:rPr>
              <w:t>. Содержание сделки, в том числе гражданские права и обязанности, на установление, изменение или прекращение которых</w:t>
            </w:r>
            <w:r>
              <w:rPr>
                <w:sz w:val="22"/>
                <w:szCs w:val="22"/>
              </w:rPr>
              <w:t xml:space="preserve"> направлена совершенная сделка:</w:t>
            </w:r>
          </w:p>
          <w:p w:rsidR="00D06C4C" w:rsidRDefault="00D06C4C" w:rsidP="006F39F1">
            <w:pPr>
              <w:ind w:left="142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Заключение и подписание Обществом следующих документов (далее – </w:t>
            </w:r>
            <w:r w:rsidR="0052246E">
              <w:rPr>
                <w:b/>
                <w:i/>
                <w:sz w:val="22"/>
                <w:szCs w:val="22"/>
              </w:rPr>
              <w:t>«</w:t>
            </w:r>
            <w:r>
              <w:rPr>
                <w:b/>
                <w:i/>
                <w:sz w:val="22"/>
                <w:szCs w:val="22"/>
              </w:rPr>
              <w:t>Сделка</w:t>
            </w:r>
            <w:r w:rsidR="0052246E">
              <w:rPr>
                <w:b/>
                <w:i/>
                <w:sz w:val="22"/>
                <w:szCs w:val="22"/>
              </w:rPr>
              <w:t>»</w:t>
            </w:r>
            <w:r>
              <w:rPr>
                <w:b/>
                <w:i/>
                <w:sz w:val="22"/>
                <w:szCs w:val="22"/>
              </w:rPr>
              <w:t>):</w:t>
            </w:r>
          </w:p>
          <w:p w:rsidR="00F47653" w:rsidRPr="00277146" w:rsidRDefault="00F47653" w:rsidP="006F39F1">
            <w:pPr>
              <w:ind w:left="142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I</w:t>
            </w:r>
            <w:r w:rsidRPr="00277146">
              <w:rPr>
                <w:b/>
                <w:i/>
                <w:sz w:val="22"/>
                <w:szCs w:val="22"/>
              </w:rPr>
              <w:t>.</w:t>
            </w:r>
          </w:p>
          <w:p w:rsidR="00DB155A" w:rsidRPr="00DB155A" w:rsidRDefault="00DB155A" w:rsidP="006F39F1">
            <w:pPr>
              <w:pStyle w:val="af5"/>
              <w:tabs>
                <w:tab w:val="left" w:pos="709"/>
                <w:tab w:val="left" w:pos="1134"/>
              </w:tabs>
              <w:ind w:left="142" w:right="113"/>
              <w:jc w:val="both"/>
              <w:rPr>
                <w:rFonts w:eastAsia="Times New Roman" w:cs="Times New Roman"/>
                <w:b/>
                <w:i/>
                <w:sz w:val="22"/>
                <w:lang w:val="ru-RU" w:eastAsia="ru-RU"/>
              </w:rPr>
            </w:pPr>
            <w:r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1. 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Договор поручительства </w:t>
            </w:r>
            <w:r w:rsidRPr="00DB155A">
              <w:rPr>
                <w:rFonts w:cs="Times New Roman"/>
                <w:b/>
                <w:i/>
                <w:sz w:val="22"/>
                <w:lang w:val="ru-RU"/>
              </w:rPr>
              <w:t>и гарантии возмещения потерь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 (в соответствии с определением термина «Russian Guarantee» в Кредитном договоре, основные условия которого изложены ниже) (</w:t>
            </w:r>
            <w:r w:rsidRPr="00DB155A">
              <w:rPr>
                <w:rFonts w:eastAsia="Times New Roman" w:cs="Times New Roman" w:hint="eastAsia"/>
                <w:b/>
                <w:i/>
                <w:sz w:val="22"/>
                <w:lang w:val="ru-RU" w:eastAsia="ru-RU"/>
              </w:rPr>
              <w:t>путем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 </w:t>
            </w:r>
            <w:r w:rsidRPr="00DB155A">
              <w:rPr>
                <w:rFonts w:eastAsia="Times New Roman" w:cs="Times New Roman" w:hint="eastAsia"/>
                <w:b/>
                <w:i/>
                <w:sz w:val="22"/>
                <w:lang w:val="ru-RU" w:eastAsia="ru-RU"/>
              </w:rPr>
              <w:t>подписания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 </w:t>
            </w:r>
            <w:r w:rsidRPr="00DB155A">
              <w:rPr>
                <w:rFonts w:eastAsia="Times New Roman" w:cs="Times New Roman" w:hint="eastAsia"/>
                <w:b/>
                <w:i/>
                <w:sz w:val="22"/>
                <w:lang w:val="ru-RU" w:eastAsia="ru-RU"/>
              </w:rPr>
              <w:t>отдельного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 </w:t>
            </w:r>
            <w:r w:rsidRPr="00DB155A">
              <w:rPr>
                <w:rFonts w:eastAsia="Times New Roman" w:cs="Times New Roman" w:hint="eastAsia"/>
                <w:b/>
                <w:i/>
                <w:sz w:val="22"/>
                <w:lang w:val="ru-RU" w:eastAsia="ru-RU"/>
              </w:rPr>
              <w:t>документа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 </w:t>
            </w:r>
            <w:r w:rsidRPr="00DB155A">
              <w:rPr>
                <w:rFonts w:eastAsia="Times New Roman" w:cs="Times New Roman" w:hint="eastAsia"/>
                <w:b/>
                <w:i/>
                <w:sz w:val="22"/>
                <w:lang w:val="ru-RU" w:eastAsia="ru-RU"/>
              </w:rPr>
              <w:t>и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>/</w:t>
            </w:r>
            <w:r w:rsidRPr="00DB155A">
              <w:rPr>
                <w:rFonts w:eastAsia="Times New Roman" w:cs="Times New Roman" w:hint="eastAsia"/>
                <w:b/>
                <w:i/>
                <w:sz w:val="22"/>
                <w:lang w:val="ru-RU" w:eastAsia="ru-RU"/>
              </w:rPr>
              <w:t>или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 </w:t>
            </w:r>
            <w:r w:rsidRPr="00DB155A">
              <w:rPr>
                <w:rFonts w:eastAsia="Times New Roman" w:cs="Times New Roman" w:hint="eastAsia"/>
                <w:b/>
                <w:i/>
                <w:sz w:val="22"/>
                <w:lang w:val="ru-RU" w:eastAsia="ru-RU"/>
              </w:rPr>
              <w:t>включения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 </w:t>
            </w:r>
            <w:r w:rsidRPr="00DB155A">
              <w:rPr>
                <w:rFonts w:eastAsia="Times New Roman" w:cs="Times New Roman" w:hint="eastAsia"/>
                <w:b/>
                <w:i/>
                <w:sz w:val="22"/>
                <w:lang w:val="ru-RU" w:eastAsia="ru-RU"/>
              </w:rPr>
              <w:t>соответствующего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 </w:t>
            </w:r>
            <w:r w:rsidRPr="00DB155A">
              <w:rPr>
                <w:rFonts w:eastAsia="Times New Roman" w:cs="Times New Roman" w:hint="eastAsia"/>
                <w:b/>
                <w:i/>
                <w:sz w:val="22"/>
                <w:lang w:val="ru-RU" w:eastAsia="ru-RU"/>
              </w:rPr>
              <w:t>условия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 </w:t>
            </w:r>
            <w:r w:rsidRPr="00DB155A">
              <w:rPr>
                <w:rFonts w:eastAsia="Times New Roman" w:cs="Times New Roman" w:hint="eastAsia"/>
                <w:b/>
                <w:i/>
                <w:sz w:val="22"/>
                <w:lang w:val="ru-RU" w:eastAsia="ru-RU"/>
              </w:rPr>
              <w:t>в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 </w:t>
            </w:r>
            <w:r w:rsidRPr="00DB155A">
              <w:rPr>
                <w:rFonts w:eastAsia="Times New Roman" w:cs="Times New Roman" w:hint="eastAsia"/>
                <w:b/>
                <w:i/>
                <w:sz w:val="22"/>
                <w:lang w:val="ru-RU" w:eastAsia="ru-RU"/>
              </w:rPr>
              <w:t>Кредитный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 </w:t>
            </w:r>
            <w:r w:rsidRPr="00DB155A">
              <w:rPr>
                <w:rFonts w:eastAsia="Times New Roman" w:cs="Times New Roman" w:hint="eastAsia"/>
                <w:b/>
                <w:i/>
                <w:sz w:val="22"/>
                <w:lang w:val="ru-RU" w:eastAsia="ru-RU"/>
              </w:rPr>
              <w:t>договор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) (далее – «Договор поручительства»), подлежащий заключению между, среди прочих, </w:t>
            </w:r>
            <w:r w:rsidR="00277146" w:rsidRPr="00861BB2">
              <w:rPr>
                <w:b/>
                <w:i/>
                <w:sz w:val="22"/>
                <w:lang w:val="ru-RU"/>
              </w:rPr>
              <w:t>А</w:t>
            </w:r>
            <w:r w:rsidR="00277146" w:rsidRPr="00277146">
              <w:rPr>
                <w:b/>
                <w:bCs/>
                <w:i/>
                <w:iCs/>
                <w:sz w:val="22"/>
                <w:lang w:val="ru-RU"/>
              </w:rPr>
              <w:t>кционерным</w:t>
            </w:r>
            <w:r w:rsidR="00277146" w:rsidRPr="00861BB2">
              <w:rPr>
                <w:b/>
                <w:bCs/>
                <w:i/>
                <w:iCs/>
                <w:sz w:val="22"/>
                <w:lang w:val="ru-RU"/>
              </w:rPr>
              <w:t xml:space="preserve"> общество</w:t>
            </w:r>
            <w:r w:rsidR="00277146">
              <w:rPr>
                <w:b/>
                <w:bCs/>
                <w:i/>
                <w:iCs/>
                <w:sz w:val="22"/>
                <w:lang w:val="ru-RU"/>
              </w:rPr>
              <w:t>м</w:t>
            </w:r>
            <w:r w:rsidR="00277146" w:rsidRPr="00861BB2">
              <w:rPr>
                <w:b/>
                <w:bCs/>
                <w:i/>
                <w:iCs/>
                <w:sz w:val="22"/>
                <w:lang w:val="ru-RU"/>
              </w:rPr>
              <w:t xml:space="preserve"> «РУСАЛ Красноярский Алюминиевый Завод».</w:t>
            </w:r>
            <w:r w:rsidR="00277146">
              <w:rPr>
                <w:b/>
                <w:bCs/>
                <w:i/>
                <w:iCs/>
                <w:sz w:val="22"/>
                <w:lang w:val="ru-RU"/>
              </w:rPr>
              <w:t xml:space="preserve"> (далее- 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>Общество</w:t>
            </w:r>
            <w:r w:rsidR="00277146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>)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, АО «РУСАЛ», Публичным акционерным обществом «РУСАЛ Братский алюминиевый завод» (далее – «ПАО «РУСАЛ Братск»), Акционерным обществом «РУСАЛ Новокузнецкий Алюминиевый Завод» (далее – «АО «РУСАЛ Новокузнецк»), Акционерным обществом «РУСАЛ Саяногорский Алюминиевый Завод» (далее – «АО «РУСАЛ Саяногорск»), Акционерным обществом «Объединенная компания РУСАЛ Уральский Алюминий» (далее – «АО «РУСАЛ Урал») и Акционерным обществом «Объединенная компания РУСАЛ – Торговый Дом» (далее – «АО «ОК РУСАЛ ТД») в качестве Российских поручителей (в соответствии с определением термина «Russian Guarantor» в Кредитном договоре) и ING Bank N.V. в качестве Aгента по кредиту и Aгента по обеспечению (в соответствии с определением терминов «Facility Agent» и «Security Agent» в Кредитном договоре), в соответствии с положениями которого Общество безотзывно, безусловно и солидарно с другими Российскими поручителями гарантирует своевременное исполнение Обязанными лицами (в соответствии с определением термина «Obligor» в Кредитном договоре) </w:t>
            </w:r>
            <w:r w:rsidRPr="00DB155A">
              <w:rPr>
                <w:rFonts w:eastAsia="Times New Roman" w:cs="Times New Roman" w:hint="eastAsia"/>
                <w:b/>
                <w:i/>
                <w:sz w:val="22"/>
                <w:lang w:val="ru-RU" w:eastAsia="ru-RU"/>
              </w:rPr>
              <w:t>обязательств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 </w:t>
            </w:r>
            <w:r w:rsidRPr="00DB155A">
              <w:rPr>
                <w:rFonts w:eastAsia="Times New Roman" w:cs="Times New Roman" w:hint="eastAsia"/>
                <w:b/>
                <w:i/>
                <w:sz w:val="22"/>
                <w:lang w:val="ru-RU" w:eastAsia="ru-RU"/>
              </w:rPr>
              <w:t>по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 </w:t>
            </w:r>
            <w:r w:rsidRPr="00DB155A">
              <w:rPr>
                <w:rFonts w:eastAsia="Times New Roman" w:cs="Times New Roman" w:hint="eastAsia"/>
                <w:b/>
                <w:i/>
                <w:sz w:val="22"/>
                <w:lang w:val="ru-RU" w:eastAsia="ru-RU"/>
              </w:rPr>
              <w:t>Финансовым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 </w:t>
            </w:r>
            <w:r w:rsidRPr="00DB155A">
              <w:rPr>
                <w:rFonts w:eastAsia="Times New Roman" w:cs="Times New Roman" w:hint="eastAsia"/>
                <w:b/>
                <w:i/>
                <w:sz w:val="22"/>
                <w:lang w:val="ru-RU" w:eastAsia="ru-RU"/>
              </w:rPr>
              <w:t>документам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 (</w:t>
            </w:r>
            <w:r w:rsidRPr="00DB155A">
              <w:rPr>
                <w:rFonts w:eastAsia="Times New Roman" w:cs="Times New Roman" w:hint="eastAsia"/>
                <w:b/>
                <w:i/>
                <w:sz w:val="22"/>
                <w:lang w:val="ru-RU" w:eastAsia="ru-RU"/>
              </w:rPr>
              <w:t>в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 </w:t>
            </w:r>
            <w:r w:rsidRPr="00DB155A">
              <w:rPr>
                <w:rFonts w:eastAsia="Times New Roman" w:cs="Times New Roman" w:hint="eastAsia"/>
                <w:b/>
                <w:i/>
                <w:sz w:val="22"/>
                <w:lang w:val="ru-RU" w:eastAsia="ru-RU"/>
              </w:rPr>
              <w:t>соответствии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 </w:t>
            </w:r>
            <w:r w:rsidRPr="00DB155A">
              <w:rPr>
                <w:rFonts w:eastAsia="Times New Roman" w:cs="Times New Roman" w:hint="eastAsia"/>
                <w:b/>
                <w:i/>
                <w:sz w:val="22"/>
                <w:lang w:val="ru-RU" w:eastAsia="ru-RU"/>
              </w:rPr>
              <w:t>с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 </w:t>
            </w:r>
            <w:r w:rsidRPr="00DB155A">
              <w:rPr>
                <w:rFonts w:eastAsia="Times New Roman" w:cs="Times New Roman" w:hint="eastAsia"/>
                <w:b/>
                <w:i/>
                <w:sz w:val="22"/>
                <w:lang w:val="ru-RU" w:eastAsia="ru-RU"/>
              </w:rPr>
              <w:t>определением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 </w:t>
            </w:r>
            <w:r w:rsidRPr="00DB155A">
              <w:rPr>
                <w:rFonts w:eastAsia="Times New Roman" w:cs="Times New Roman" w:hint="eastAsia"/>
                <w:b/>
                <w:i/>
                <w:sz w:val="22"/>
                <w:lang w:val="ru-RU" w:eastAsia="ru-RU"/>
              </w:rPr>
              <w:t>термина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 «</w:t>
            </w:r>
            <w:r w:rsidRPr="00DB155A">
              <w:rPr>
                <w:rFonts w:eastAsia="Times New Roman" w:cs="Times New Roman"/>
                <w:b/>
                <w:i/>
                <w:iCs/>
                <w:sz w:val="22"/>
                <w:lang w:eastAsia="ru-RU"/>
              </w:rPr>
              <w:t>Finance</w:t>
            </w:r>
            <w:r w:rsidRPr="00DB155A">
              <w:rPr>
                <w:rFonts w:eastAsia="Times New Roman" w:cs="Times New Roman"/>
                <w:b/>
                <w:i/>
                <w:iCs/>
                <w:sz w:val="22"/>
                <w:lang w:val="ru-RU" w:eastAsia="ru-RU"/>
              </w:rPr>
              <w:t xml:space="preserve"> </w:t>
            </w:r>
            <w:r w:rsidRPr="00DB155A">
              <w:rPr>
                <w:rFonts w:eastAsia="Times New Roman" w:cs="Times New Roman"/>
                <w:b/>
                <w:i/>
                <w:iCs/>
                <w:sz w:val="22"/>
                <w:lang w:eastAsia="ru-RU"/>
              </w:rPr>
              <w:t>Documents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» </w:t>
            </w:r>
            <w:r w:rsidRPr="00DB155A">
              <w:rPr>
                <w:rFonts w:eastAsia="Times New Roman" w:cs="Times New Roman" w:hint="eastAsia"/>
                <w:b/>
                <w:i/>
                <w:sz w:val="22"/>
                <w:lang w:val="ru-RU" w:eastAsia="ru-RU"/>
              </w:rPr>
              <w:t>в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 </w:t>
            </w:r>
            <w:r w:rsidRPr="00DB155A">
              <w:rPr>
                <w:rFonts w:eastAsia="Times New Roman" w:cs="Times New Roman" w:hint="eastAsia"/>
                <w:b/>
                <w:i/>
                <w:sz w:val="22"/>
                <w:lang w:val="ru-RU" w:eastAsia="ru-RU"/>
              </w:rPr>
              <w:t>Кредитном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 </w:t>
            </w:r>
            <w:r w:rsidRPr="00DB155A">
              <w:rPr>
                <w:rFonts w:eastAsia="Times New Roman" w:cs="Times New Roman" w:hint="eastAsia"/>
                <w:b/>
                <w:i/>
                <w:sz w:val="22"/>
                <w:lang w:val="ru-RU" w:eastAsia="ru-RU"/>
              </w:rPr>
              <w:t>договоре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>) и обязуется незамедлительно и по требованию оплатить любые суммы, должные и не уплаченные любым Обязанным лицом в отношении любого Финансового документа, а также предоставляет гарантию в отношении незамедлительного возмещения каждой Финансовой стороне (в соответствии с определением термина «Finance Parties» в Кредитном договоре) любых издержек, убытков и размера ответственности, которые такая Финансовая сторона может понести в результате неуплаты причитающихся сумм Обязанным лицом по причине неисполнимости, недействительности или незаконности обязательств такого лица.</w:t>
            </w:r>
          </w:p>
          <w:p w:rsidR="00DB155A" w:rsidRPr="00DB155A" w:rsidRDefault="00DB155A" w:rsidP="006F39F1">
            <w:pPr>
              <w:pStyle w:val="af5"/>
              <w:tabs>
                <w:tab w:val="left" w:pos="709"/>
                <w:tab w:val="left" w:pos="1134"/>
              </w:tabs>
              <w:ind w:left="142" w:right="113"/>
              <w:jc w:val="both"/>
              <w:rPr>
                <w:rFonts w:eastAsia="Times New Roman" w:cs="Times New Roman"/>
                <w:b/>
                <w:i/>
                <w:sz w:val="22"/>
                <w:lang w:val="ru-RU" w:eastAsia="ru-RU"/>
              </w:rPr>
            </w:pPr>
            <w:r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2. 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Договоры залога прав по договорам залогового (банковского) счета (в соответствии с 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lastRenderedPageBreak/>
              <w:t xml:space="preserve">определением термина «Russian Account Pledge» в Кредитном договоре), в соответствии с положениями каждого из которых Общество предоставляет </w:t>
            </w:r>
            <w:r w:rsidRPr="00DB155A">
              <w:rPr>
                <w:b/>
                <w:i/>
                <w:sz w:val="22"/>
                <w:lang w:val="ru-RU"/>
              </w:rPr>
              <w:t xml:space="preserve">Агенту по обеспечению, являющемуся залогодержателем, право после наступления События обращения взыскания (как данный термин определен в Договорах залога прав по договорам залогового (банковского) счета) обратить взыскание на права по соответствующему договору залогового (банковского) счета путем списания 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>денежных средств с соответствующих Российских счетов (в соответствии с определением термина «Russian Collection Account» в Кредитном договоре), открытых в Паспортных банках (в соответствии с определением термина «</w:t>
            </w:r>
            <w:r w:rsidRPr="00DB155A">
              <w:rPr>
                <w:rFonts w:eastAsia="Times New Roman" w:cs="Times New Roman"/>
                <w:b/>
                <w:i/>
                <w:sz w:val="22"/>
                <w:lang w:eastAsia="ru-RU"/>
              </w:rPr>
              <w:t>Passport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 </w:t>
            </w:r>
            <w:r w:rsidRPr="00DB155A">
              <w:rPr>
                <w:rFonts w:eastAsia="Times New Roman" w:cs="Times New Roman"/>
                <w:b/>
                <w:i/>
                <w:sz w:val="22"/>
                <w:lang w:eastAsia="ru-RU"/>
              </w:rPr>
              <w:t>Bank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» в Кредитном договоре), в размере любых и всех сумм по Обеспечиваемым обязательствам (как данный термин определен в Договорах залога прав по договорам залогового (банковского) счета). </w:t>
            </w:r>
          </w:p>
          <w:p w:rsidR="00DB155A" w:rsidRPr="00DB155A" w:rsidRDefault="00DB155A" w:rsidP="006F39F1">
            <w:pPr>
              <w:pStyle w:val="af5"/>
              <w:tabs>
                <w:tab w:val="left" w:pos="709"/>
                <w:tab w:val="left" w:pos="1134"/>
              </w:tabs>
              <w:ind w:left="142" w:right="113"/>
              <w:jc w:val="both"/>
              <w:rPr>
                <w:rFonts w:eastAsia="Times New Roman" w:cs="Times New Roman"/>
                <w:b/>
                <w:i/>
                <w:sz w:val="22"/>
                <w:lang w:val="ru-RU" w:eastAsia="ru-RU"/>
              </w:rPr>
            </w:pP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>Во избежание сомнений, Обеспечиваемые обязательства по Договорам залога прав по договорам залогового (банковского) счета, включают, помимо прочего: (</w:t>
            </w:r>
            <w:r w:rsidRPr="00DB155A">
              <w:rPr>
                <w:rFonts w:eastAsia="Times New Roman" w:cs="Times New Roman"/>
                <w:b/>
                <w:i/>
                <w:sz w:val="22"/>
                <w:lang w:eastAsia="ru-RU"/>
              </w:rPr>
              <w:t>i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) обязательства </w:t>
            </w:r>
            <w:r w:rsidRPr="00DB155A">
              <w:rPr>
                <w:rFonts w:eastAsia="Times New Roman" w:cs="Times New Roman"/>
                <w:b/>
                <w:i/>
                <w:sz w:val="22"/>
                <w:lang w:eastAsia="ru-RU"/>
              </w:rPr>
              <w:t>United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 </w:t>
            </w:r>
            <w:r w:rsidRPr="00DB155A">
              <w:rPr>
                <w:rFonts w:eastAsia="Times New Roman" w:cs="Times New Roman"/>
                <w:b/>
                <w:i/>
                <w:sz w:val="22"/>
                <w:lang w:eastAsia="ru-RU"/>
              </w:rPr>
              <w:t>Company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 </w:t>
            </w:r>
            <w:r w:rsidRPr="00DB155A">
              <w:rPr>
                <w:rFonts w:eastAsia="Times New Roman" w:cs="Times New Roman"/>
                <w:b/>
                <w:i/>
                <w:sz w:val="22"/>
                <w:lang w:eastAsia="ru-RU"/>
              </w:rPr>
              <w:t>Rusal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 </w:t>
            </w:r>
            <w:r w:rsidRPr="00DB155A">
              <w:rPr>
                <w:rFonts w:eastAsia="Times New Roman" w:cs="Times New Roman"/>
                <w:b/>
                <w:i/>
                <w:sz w:val="22"/>
                <w:lang w:eastAsia="ru-RU"/>
              </w:rPr>
              <w:t>Plc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 по Кредитному договора и (</w:t>
            </w:r>
            <w:r w:rsidRPr="00DB155A">
              <w:rPr>
                <w:rFonts w:eastAsia="Times New Roman" w:cs="Times New Roman"/>
                <w:b/>
                <w:i/>
                <w:sz w:val="22"/>
                <w:lang w:eastAsia="ru-RU"/>
              </w:rPr>
              <w:t>ii</w:t>
            </w:r>
            <w:r w:rsidRPr="00DB155A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) обязательства Общества по Договору поручительства. </w:t>
            </w:r>
          </w:p>
          <w:p w:rsidR="00DB155A" w:rsidRPr="00C37AEB" w:rsidRDefault="00DB155A" w:rsidP="006F39F1">
            <w:pPr>
              <w:tabs>
                <w:tab w:val="left" w:pos="709"/>
                <w:tab w:val="left" w:pos="1134"/>
              </w:tabs>
              <w:ind w:left="142" w:right="113"/>
              <w:jc w:val="both"/>
              <w:rPr>
                <w:b/>
                <w:i/>
                <w:sz w:val="22"/>
                <w:szCs w:val="22"/>
              </w:rPr>
            </w:pPr>
            <w:r w:rsidRPr="00DB155A">
              <w:rPr>
                <w:b/>
                <w:i/>
                <w:sz w:val="22"/>
                <w:szCs w:val="22"/>
              </w:rPr>
              <w:t>3. Договоры об уступке прав по Экспортным и Толлинговым контрактам (в соответствии с определениями терминов «Producer Assignments» и «</w:t>
            </w:r>
            <w:r w:rsidRPr="00DB155A">
              <w:rPr>
                <w:b/>
                <w:i/>
                <w:iCs/>
                <w:sz w:val="22"/>
                <w:szCs w:val="22"/>
              </w:rPr>
              <w:t>Export Party Assignment</w:t>
            </w:r>
            <w:r w:rsidRPr="00DB155A">
              <w:rPr>
                <w:b/>
                <w:i/>
                <w:sz w:val="22"/>
                <w:szCs w:val="22"/>
              </w:rPr>
              <w:t xml:space="preserve">» в Кредитном договоре), подлежащие заключению между Обществом  в качестве цедента (далее  – «Цедент») и ING Bank N.V. в качестве Агента по обеспечению, </w:t>
            </w:r>
            <w:r w:rsidRPr="00DB155A">
              <w:rPr>
                <w:rFonts w:eastAsia="SimSun"/>
                <w:b/>
                <w:bCs/>
                <w:i/>
                <w:sz w:val="22"/>
                <w:szCs w:val="22"/>
              </w:rPr>
              <w:t xml:space="preserve">которые регулируют порядок уступки Агенту по обеспечению всех прав и выручки Цедентом по Экспортным и Толлинговым контрактам </w:t>
            </w:r>
            <w:r w:rsidRPr="00DB155A">
              <w:rPr>
                <w:b/>
                <w:bCs/>
                <w:i/>
                <w:sz w:val="22"/>
                <w:szCs w:val="22"/>
              </w:rPr>
              <w:t xml:space="preserve">(в соответствии с определениями терминов «Export Contracts» и </w:t>
            </w:r>
            <w:r w:rsidRPr="00DB155A">
              <w:rPr>
                <w:b/>
                <w:i/>
                <w:sz w:val="22"/>
                <w:szCs w:val="22"/>
              </w:rPr>
              <w:t xml:space="preserve">«Tolling Contracts» </w:t>
            </w:r>
            <w:r w:rsidRPr="00DB155A">
              <w:rPr>
                <w:b/>
                <w:bCs/>
                <w:i/>
                <w:sz w:val="22"/>
                <w:szCs w:val="22"/>
              </w:rPr>
              <w:t xml:space="preserve"> в Кредитном договоре)</w:t>
            </w:r>
            <w:r w:rsidRPr="00DB155A">
              <w:rPr>
                <w:b/>
                <w:i/>
                <w:sz w:val="22"/>
                <w:szCs w:val="22"/>
              </w:rPr>
              <w:t xml:space="preserve">, стороной по которым является Цедент, в целях обеспечения исполнения Обеспеченных обязательств (в соответствии с определением термина «Secured Obligations» в Кредитном договоре). Обеспеченные обязательства включают все обязательства Обязанных лиц в пользу любой Обеспеченной стороны (в соответствии с определением термина </w:t>
            </w:r>
            <w:r w:rsidRPr="00DB155A">
              <w:rPr>
                <w:b/>
                <w:bCs/>
                <w:i/>
                <w:sz w:val="22"/>
                <w:szCs w:val="22"/>
              </w:rPr>
              <w:t>«Secured Parties» в Кредитном договоре</w:t>
            </w:r>
            <w:r w:rsidRPr="00DB155A">
              <w:rPr>
                <w:b/>
                <w:i/>
                <w:sz w:val="22"/>
                <w:szCs w:val="22"/>
              </w:rPr>
              <w:t>) по Финансовым документам.</w:t>
            </w:r>
          </w:p>
          <w:p w:rsidR="00F47653" w:rsidRDefault="00F47653" w:rsidP="00F47653">
            <w:pPr>
              <w:tabs>
                <w:tab w:val="left" w:pos="709"/>
                <w:tab w:val="left" w:pos="1134"/>
              </w:tabs>
              <w:ind w:left="142" w:right="113"/>
              <w:jc w:val="both"/>
              <w:rPr>
                <w:b/>
                <w:i/>
                <w:sz w:val="22"/>
                <w:szCs w:val="22"/>
              </w:rPr>
            </w:pPr>
            <w:r w:rsidRPr="00F47653">
              <w:rPr>
                <w:b/>
                <w:i/>
                <w:sz w:val="22"/>
                <w:szCs w:val="22"/>
              </w:rPr>
              <w:t>4</w:t>
            </w:r>
            <w:r w:rsidRPr="00DB155A">
              <w:rPr>
                <w:b/>
                <w:i/>
                <w:sz w:val="22"/>
                <w:szCs w:val="22"/>
              </w:rPr>
              <w:t>. Иные договоры, соглашения и документы, которые могут быть заключены в связи с предоставлением кредита по Кредитному договору, предусмотренные Кредитным договором, указанными выше документами и/или оформляемые и/или совершаемые Обществом в связи с Кредитным договором и указанными выше документами.</w:t>
            </w:r>
          </w:p>
          <w:p w:rsidR="00F47653" w:rsidRPr="001455E5" w:rsidRDefault="00F47653" w:rsidP="006F39F1">
            <w:pPr>
              <w:tabs>
                <w:tab w:val="left" w:pos="709"/>
                <w:tab w:val="left" w:pos="1134"/>
              </w:tabs>
              <w:ind w:left="142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II</w:t>
            </w:r>
            <w:r w:rsidRPr="001455E5">
              <w:rPr>
                <w:b/>
                <w:i/>
                <w:sz w:val="22"/>
                <w:szCs w:val="22"/>
              </w:rPr>
              <w:t>.</w:t>
            </w:r>
          </w:p>
          <w:p w:rsidR="00FE7957" w:rsidRPr="00FE7957" w:rsidRDefault="00FE7957" w:rsidP="00FE7957">
            <w:pPr>
              <w:pStyle w:val="af5"/>
              <w:tabs>
                <w:tab w:val="left" w:pos="142"/>
              </w:tabs>
              <w:suppressAutoHyphens/>
              <w:ind w:left="142" w:right="113"/>
              <w:jc w:val="both"/>
              <w:rPr>
                <w:rFonts w:eastAsia="SimSun" w:cs="Times New Roman"/>
                <w:b/>
                <w:bCs/>
                <w:i/>
                <w:sz w:val="22"/>
                <w:lang w:val="ru-RU"/>
              </w:rPr>
            </w:pPr>
            <w:r>
              <w:rPr>
                <w:rFonts w:eastAsia="SimSun" w:cs="Times New Roman"/>
                <w:b/>
                <w:bCs/>
                <w:i/>
                <w:sz w:val="22"/>
                <w:lang w:val="ru-RU"/>
              </w:rPr>
              <w:t>П</w:t>
            </w:r>
            <w:r w:rsidRPr="00FE7957">
              <w:rPr>
                <w:rFonts w:eastAsia="SimSun" w:cs="Times New Roman"/>
                <w:b/>
                <w:bCs/>
                <w:i/>
                <w:sz w:val="22"/>
                <w:lang w:val="ru-RU"/>
              </w:rPr>
              <w:t xml:space="preserve">од Кредитным договором понимается Договор предэкспортного финансирования, привязанный к показателям устойчивого развития группы, </w:t>
            </w:r>
            <w:r w:rsidR="00661503" w:rsidRPr="00CC2DB1">
              <w:rPr>
                <w:b/>
                <w:i/>
                <w:sz w:val="22"/>
                <w:lang w:val="ru-RU"/>
              </w:rPr>
              <w:t>от 25 октября 2019 года</w:t>
            </w:r>
            <w:r w:rsidRPr="00FE7957">
              <w:rPr>
                <w:rFonts w:eastAsia="SimSun" w:cs="Times New Roman"/>
                <w:b/>
                <w:bCs/>
                <w:i/>
                <w:sz w:val="22"/>
                <w:lang w:val="ru-RU"/>
              </w:rPr>
              <w:t xml:space="preserve"> между, среди прочих лиц, United Company Rusal Plc в качестве заемщика, ING Bank N.V. в качестве Агента по кредиту, Агента по обеспечению, Natixis в качестве Агента по закупке (</w:t>
            </w:r>
            <w:r w:rsidRPr="00FE7957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>в соответствии с определением термина «</w:t>
            </w:r>
            <w:r w:rsidRPr="00FE7957">
              <w:rPr>
                <w:rFonts w:eastAsia="Times New Roman" w:cs="Times New Roman"/>
                <w:b/>
                <w:i/>
                <w:sz w:val="22"/>
                <w:lang w:eastAsia="ru-RU"/>
              </w:rPr>
              <w:t>Offtake</w:t>
            </w:r>
            <w:r w:rsidRPr="00FE7957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 xml:space="preserve"> </w:t>
            </w:r>
            <w:r w:rsidRPr="00FE7957">
              <w:rPr>
                <w:rFonts w:eastAsia="Times New Roman" w:cs="Times New Roman"/>
                <w:b/>
                <w:i/>
                <w:sz w:val="22"/>
                <w:lang w:eastAsia="ru-RU"/>
              </w:rPr>
              <w:t>Agent</w:t>
            </w:r>
            <w:r w:rsidRPr="00FE7957">
              <w:rPr>
                <w:rFonts w:eastAsia="Times New Roman" w:cs="Times New Roman"/>
                <w:b/>
                <w:i/>
                <w:sz w:val="22"/>
                <w:lang w:val="ru-RU" w:eastAsia="ru-RU"/>
              </w:rPr>
              <w:t>» в Кредитном договоре</w:t>
            </w:r>
            <w:r w:rsidRPr="00FE7957">
              <w:rPr>
                <w:rFonts w:eastAsia="SimSun" w:cs="Times New Roman"/>
                <w:b/>
                <w:bCs/>
                <w:i/>
                <w:sz w:val="22"/>
                <w:lang w:val="ru-RU"/>
              </w:rPr>
              <w:t>), а также поименованных в договоре Кредиторов на следующих условиях:</w:t>
            </w:r>
          </w:p>
          <w:p w:rsidR="00FE7957" w:rsidRPr="00FE7957" w:rsidRDefault="00FE7957" w:rsidP="00FE7957">
            <w:pPr>
              <w:pStyle w:val="a9"/>
              <w:numPr>
                <w:ilvl w:val="0"/>
                <w:numId w:val="22"/>
              </w:numPr>
              <w:tabs>
                <w:tab w:val="left" w:pos="142"/>
              </w:tabs>
              <w:autoSpaceDE/>
              <w:autoSpaceDN/>
              <w:spacing w:after="0"/>
              <w:ind w:left="142" w:right="113" w:firstLine="0"/>
              <w:jc w:val="both"/>
              <w:rPr>
                <w:i/>
                <w:sz w:val="22"/>
              </w:rPr>
            </w:pPr>
            <w:r w:rsidRPr="00FE7957">
              <w:rPr>
                <w:i/>
                <w:sz w:val="22"/>
              </w:rPr>
              <w:t xml:space="preserve">Общая сумма кредита: до </w:t>
            </w:r>
            <w:r w:rsidR="008B232E" w:rsidRPr="00543235">
              <w:rPr>
                <w:i/>
                <w:sz w:val="22"/>
                <w:szCs w:val="22"/>
              </w:rPr>
              <w:t>1 085 000 000 (одного миллиарда восьмидесяти пяти миллионов</w:t>
            </w:r>
            <w:r w:rsidR="008B232E">
              <w:rPr>
                <w:i/>
                <w:sz w:val="22"/>
                <w:szCs w:val="22"/>
              </w:rPr>
              <w:t>)</w:t>
            </w:r>
            <w:r w:rsidR="005516AC">
              <w:rPr>
                <w:i/>
                <w:sz w:val="22"/>
                <w:szCs w:val="22"/>
              </w:rPr>
              <w:t xml:space="preserve"> </w:t>
            </w:r>
            <w:r w:rsidRPr="00FE7957">
              <w:rPr>
                <w:i/>
                <w:sz w:val="22"/>
              </w:rPr>
              <w:t xml:space="preserve">долларов США , которая может состоять из одного или нескольких траншей в сумме, определяемой в соответствии с Кредитным договором. </w:t>
            </w:r>
          </w:p>
          <w:p w:rsidR="00FE7957" w:rsidRPr="00FE7957" w:rsidRDefault="00FE7957" w:rsidP="00FE7957">
            <w:pPr>
              <w:pStyle w:val="a9"/>
              <w:numPr>
                <w:ilvl w:val="0"/>
                <w:numId w:val="22"/>
              </w:numPr>
              <w:tabs>
                <w:tab w:val="left" w:pos="142"/>
              </w:tabs>
              <w:autoSpaceDE/>
              <w:autoSpaceDN/>
              <w:spacing w:after="0"/>
              <w:ind w:left="142" w:right="113" w:firstLine="0"/>
              <w:jc w:val="both"/>
              <w:rPr>
                <w:i/>
                <w:sz w:val="22"/>
              </w:rPr>
            </w:pPr>
            <w:r w:rsidRPr="00FE7957">
              <w:rPr>
                <w:i/>
                <w:sz w:val="22"/>
              </w:rPr>
              <w:t>Период доступности кредита: в течение 30 Рабочих дней (в соответствии с определением термина «Business Days» в Кредитном договоре) c даты выполнения всех соответствующих условий, предусмотренных Кредитным договором (как предусмотрено в определении термина «Financial Closing Date» в Кредитном договоре).</w:t>
            </w:r>
          </w:p>
          <w:p w:rsidR="00FE7957" w:rsidRPr="00FE7957" w:rsidRDefault="00FE7957" w:rsidP="00FE7957">
            <w:pPr>
              <w:pStyle w:val="a9"/>
              <w:numPr>
                <w:ilvl w:val="0"/>
                <w:numId w:val="22"/>
              </w:numPr>
              <w:tabs>
                <w:tab w:val="left" w:pos="142"/>
              </w:tabs>
              <w:autoSpaceDE/>
              <w:autoSpaceDN/>
              <w:spacing w:after="0"/>
              <w:ind w:left="142" w:right="113" w:firstLine="0"/>
              <w:jc w:val="both"/>
              <w:rPr>
                <w:i/>
                <w:sz w:val="22"/>
              </w:rPr>
            </w:pPr>
            <w:r w:rsidRPr="00FE7957">
              <w:rPr>
                <w:i/>
                <w:sz w:val="22"/>
              </w:rPr>
              <w:t>Использование кредита: каждая выборка должна быть направлена Заемщиком на погашение общей задолженности по Существующему договору предэкспортного финансирования (в соответствии с определением термина «Existing PXF» в Кредитном договоре).</w:t>
            </w:r>
          </w:p>
          <w:p w:rsidR="00FE7957" w:rsidRPr="00FE7957" w:rsidRDefault="00FE7957" w:rsidP="00FE7957">
            <w:pPr>
              <w:pStyle w:val="a9"/>
              <w:numPr>
                <w:ilvl w:val="0"/>
                <w:numId w:val="22"/>
              </w:numPr>
              <w:tabs>
                <w:tab w:val="left" w:pos="142"/>
              </w:tabs>
              <w:autoSpaceDE/>
              <w:autoSpaceDN/>
              <w:spacing w:after="0"/>
              <w:ind w:left="142" w:right="113" w:firstLine="0"/>
              <w:jc w:val="both"/>
              <w:rPr>
                <w:i/>
                <w:sz w:val="22"/>
              </w:rPr>
            </w:pPr>
            <w:r w:rsidRPr="00FE7957">
              <w:rPr>
                <w:i/>
                <w:sz w:val="22"/>
              </w:rPr>
              <w:t>Окончательный срок погашения: окончательный срок погашения наступает спустя 60 месяцев с даты первой Выборки (в соответствии с определением термина «Utilisation» в Кредитном договоре).</w:t>
            </w:r>
          </w:p>
          <w:p w:rsidR="00FE7957" w:rsidRPr="00FE7957" w:rsidRDefault="00FE7957" w:rsidP="00FE7957">
            <w:pPr>
              <w:pStyle w:val="a9"/>
              <w:numPr>
                <w:ilvl w:val="0"/>
                <w:numId w:val="22"/>
              </w:numPr>
              <w:tabs>
                <w:tab w:val="left" w:pos="142"/>
              </w:tabs>
              <w:autoSpaceDE/>
              <w:autoSpaceDN/>
              <w:spacing w:after="0"/>
              <w:ind w:left="142" w:right="113" w:firstLine="0"/>
              <w:jc w:val="both"/>
              <w:rPr>
                <w:i/>
                <w:sz w:val="22"/>
              </w:rPr>
            </w:pPr>
            <w:r w:rsidRPr="00FE7957">
              <w:rPr>
                <w:i/>
                <w:sz w:val="22"/>
              </w:rPr>
              <w:t>Порядок погашения: 12 (двенадцатью) равными квартальными платежами, подлежащими уплате в соответствующую Запланированную дату погашения (в соответствии с определением термина «Scheduled Repayment Date» в Кредитном договоре).</w:t>
            </w:r>
          </w:p>
          <w:p w:rsidR="00FE7957" w:rsidRPr="00FE7957" w:rsidRDefault="00FE7957" w:rsidP="00FE7957">
            <w:pPr>
              <w:pStyle w:val="a9"/>
              <w:numPr>
                <w:ilvl w:val="0"/>
                <w:numId w:val="22"/>
              </w:numPr>
              <w:tabs>
                <w:tab w:val="left" w:pos="142"/>
              </w:tabs>
              <w:autoSpaceDE/>
              <w:autoSpaceDN/>
              <w:spacing w:after="0"/>
              <w:ind w:left="142" w:right="113" w:firstLine="0"/>
              <w:jc w:val="both"/>
              <w:rPr>
                <w:i/>
                <w:sz w:val="22"/>
              </w:rPr>
            </w:pPr>
            <w:r w:rsidRPr="00FE7957">
              <w:rPr>
                <w:i/>
                <w:sz w:val="22"/>
              </w:rPr>
              <w:t>Досрочное погашение: в Кредитном договоре предусматриваются случаи обязательного и добровольного досрочного погашения.</w:t>
            </w:r>
          </w:p>
          <w:p w:rsidR="00FE7957" w:rsidRDefault="00FE7957" w:rsidP="00FE7957">
            <w:pPr>
              <w:pStyle w:val="a9"/>
              <w:numPr>
                <w:ilvl w:val="0"/>
                <w:numId w:val="22"/>
              </w:numPr>
              <w:tabs>
                <w:tab w:val="left" w:pos="142"/>
              </w:tabs>
              <w:autoSpaceDE/>
              <w:autoSpaceDN/>
              <w:spacing w:after="0"/>
              <w:ind w:left="142" w:right="113" w:firstLine="0"/>
              <w:jc w:val="both"/>
              <w:rPr>
                <w:i/>
                <w:sz w:val="22"/>
              </w:rPr>
            </w:pPr>
            <w:r w:rsidRPr="00FE7957">
              <w:rPr>
                <w:i/>
                <w:sz w:val="22"/>
              </w:rPr>
              <w:t xml:space="preserve">Иные суммы, уплачиваемые или подлежащие уплате в соответствии с Кредитным договором или в связи с ним.  </w:t>
            </w:r>
          </w:p>
          <w:p w:rsidR="00407257" w:rsidRPr="00750DA5" w:rsidRDefault="00407257" w:rsidP="006F39F1">
            <w:pPr>
              <w:autoSpaceDE/>
              <w:autoSpaceDN/>
              <w:ind w:left="142" w:right="113"/>
              <w:jc w:val="both"/>
              <w:rPr>
                <w:sz w:val="22"/>
                <w:szCs w:val="22"/>
              </w:rPr>
            </w:pPr>
            <w:r w:rsidRPr="007B434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  <w:r w:rsidRPr="007B4349">
              <w:rPr>
                <w:sz w:val="22"/>
                <w:szCs w:val="22"/>
              </w:rPr>
              <w:t>. </w:t>
            </w:r>
            <w:r w:rsidRPr="00623090">
              <w:rPr>
                <w:color w:val="000000"/>
                <w:sz w:val="22"/>
                <w:szCs w:val="22"/>
              </w:rPr>
              <w:t>С</w:t>
            </w:r>
            <w:r w:rsidRPr="00623090">
              <w:rPr>
                <w:sz w:val="22"/>
                <w:szCs w:val="22"/>
              </w:rPr>
              <w:t>рок исполнения обязательств по сделке, стороны и выгодоприобретатели по сделке, размер сделки в денежном выражении и в процентах от стоимости активов лица, предоставившего обеспечение по облигациям эмитента, которое совершило сделку:</w:t>
            </w:r>
            <w:r w:rsidRPr="00623090">
              <w:rPr>
                <w:color w:val="000000"/>
                <w:sz w:val="22"/>
                <w:szCs w:val="22"/>
              </w:rPr>
              <w:t> </w:t>
            </w:r>
          </w:p>
          <w:p w:rsidR="00407257" w:rsidRPr="0016760E" w:rsidRDefault="00407257" w:rsidP="006F39F1">
            <w:pPr>
              <w:ind w:left="142" w:right="113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7B4349">
              <w:rPr>
                <w:sz w:val="22"/>
                <w:szCs w:val="22"/>
              </w:rPr>
              <w:t xml:space="preserve">Срок исполнения обязательств по </w:t>
            </w:r>
            <w:r w:rsidRPr="0016760E">
              <w:rPr>
                <w:sz w:val="22"/>
                <w:szCs w:val="22"/>
              </w:rPr>
              <w:t>сделке:</w:t>
            </w:r>
            <w:r w:rsidRPr="0016760E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16760E" w:rsidRPr="004E0BB6">
              <w:rPr>
                <w:b/>
                <w:i/>
                <w:sz w:val="22"/>
              </w:rPr>
              <w:t>спустя 60 месяцев с даты первой Выборки</w:t>
            </w:r>
            <w:r w:rsidRPr="004E0BB6">
              <w:rPr>
                <w:b/>
                <w:i/>
                <w:sz w:val="22"/>
                <w:szCs w:val="22"/>
              </w:rPr>
              <w:t>.</w:t>
            </w:r>
          </w:p>
          <w:p w:rsidR="006F39F1" w:rsidRDefault="00407257" w:rsidP="006F39F1">
            <w:pPr>
              <w:pStyle w:val="ab"/>
              <w:ind w:left="142" w:right="113"/>
              <w:rPr>
                <w:bCs/>
                <w:iCs/>
              </w:rPr>
            </w:pPr>
            <w:r w:rsidRPr="00C72B8F">
              <w:rPr>
                <w:bCs/>
                <w:iCs/>
              </w:rPr>
              <w:t>Сторон</w:t>
            </w:r>
            <w:r w:rsidR="00DB155A">
              <w:rPr>
                <w:bCs/>
                <w:iCs/>
              </w:rPr>
              <w:t>ами и/или выгодоприобретателями</w:t>
            </w:r>
            <w:r w:rsidR="006F39F1">
              <w:rPr>
                <w:bCs/>
                <w:iCs/>
              </w:rPr>
              <w:t xml:space="preserve"> являются: </w:t>
            </w:r>
          </w:p>
          <w:p w:rsidR="00407257" w:rsidRPr="006F39F1" w:rsidRDefault="006F39F1" w:rsidP="006F39F1">
            <w:pPr>
              <w:pStyle w:val="ab"/>
              <w:ind w:left="142" w:right="113"/>
              <w:rPr>
                <w:b/>
                <w:i/>
              </w:rPr>
            </w:pPr>
            <w:r w:rsidRPr="006F39F1">
              <w:rPr>
                <w:b/>
                <w:bCs/>
                <w:i/>
                <w:iCs/>
              </w:rPr>
              <w:lastRenderedPageBreak/>
              <w:t xml:space="preserve">по договору поручительства и гарантии возмещения потерь – АО «РУСАЛ Красноярск», </w:t>
            </w:r>
            <w:r w:rsidRPr="006F39F1">
              <w:rPr>
                <w:b/>
                <w:i/>
              </w:rPr>
              <w:t>АО «РУСАЛ», United Company Rusal Plc, ПАО «РУСАЛ Братск», АО «РУСАЛ Новокузнецк», АО «РУСАЛ Саяногорск», АО «РУСАЛ Урал», АО «ОК РУСАЛ ТД», RTI Limited, RS International GmbH, Rusal Marketing GmbH, Финансовые стороны;</w:t>
            </w:r>
          </w:p>
          <w:p w:rsidR="006F39F1" w:rsidRPr="006F39F1" w:rsidRDefault="006F39F1" w:rsidP="006F39F1">
            <w:pPr>
              <w:pStyle w:val="ab"/>
              <w:ind w:left="142" w:right="113"/>
              <w:rPr>
                <w:b/>
                <w:i/>
              </w:rPr>
            </w:pPr>
            <w:r w:rsidRPr="006F39F1">
              <w:rPr>
                <w:b/>
                <w:i/>
              </w:rPr>
              <w:t xml:space="preserve">по договору залога прав по договорам залогового (банковского) счета – АО «РУСАЛ Красноярск», United Company Rusal Plc, </w:t>
            </w:r>
            <w:r w:rsidRPr="006F39F1">
              <w:rPr>
                <w:rFonts w:eastAsia="SimSun"/>
                <w:b/>
                <w:bCs/>
                <w:i/>
              </w:rPr>
              <w:t>соответствующий Паспортный банк</w:t>
            </w:r>
            <w:r w:rsidRPr="006F39F1">
              <w:rPr>
                <w:b/>
                <w:i/>
              </w:rPr>
              <w:t>, Финансовые стороны;</w:t>
            </w:r>
          </w:p>
          <w:p w:rsidR="006F39F1" w:rsidRDefault="006F39F1" w:rsidP="006F39F1">
            <w:pPr>
              <w:pStyle w:val="ab"/>
              <w:ind w:left="142" w:right="113"/>
              <w:rPr>
                <w:b/>
                <w:i/>
              </w:rPr>
            </w:pPr>
            <w:r w:rsidRPr="006F39F1">
              <w:rPr>
                <w:b/>
                <w:i/>
              </w:rPr>
              <w:t xml:space="preserve">по договору об уступке прав по Экспортным и Толлинговым контрактам – АО «РУСАЛ Красноярск». United Company </w:t>
            </w:r>
            <w:r w:rsidR="00FE7957">
              <w:rPr>
                <w:b/>
                <w:i/>
              </w:rPr>
              <w:t>Rusal Plc, Обеспеченные стороны;</w:t>
            </w:r>
          </w:p>
          <w:p w:rsidR="00407257" w:rsidRPr="00B234AB" w:rsidRDefault="00407257" w:rsidP="006F39F1">
            <w:pPr>
              <w:pStyle w:val="ab"/>
              <w:ind w:left="142" w:right="113"/>
              <w:rPr>
                <w:rFonts w:eastAsia="SimSun"/>
                <w:b/>
                <w:i/>
                <w:lang w:eastAsia="en-US"/>
              </w:rPr>
            </w:pPr>
            <w:r w:rsidRPr="00623090">
              <w:rPr>
                <w:bCs/>
                <w:iCs/>
                <w:color w:val="000000"/>
              </w:rPr>
              <w:t>Размер сделки</w:t>
            </w:r>
            <w:r w:rsidRPr="00623090">
              <w:rPr>
                <w:color w:val="000000"/>
              </w:rPr>
              <w:t xml:space="preserve"> в денежном выражении и в процентах от стоимости активов лица, предоставившего обеспечение по облигациям эмитента</w:t>
            </w:r>
            <w:r w:rsidRPr="00623090">
              <w:rPr>
                <w:bCs/>
                <w:iCs/>
                <w:color w:val="000000"/>
              </w:rPr>
              <w:t xml:space="preserve">: </w:t>
            </w:r>
            <w:r w:rsidR="00543235" w:rsidRPr="00140B2E">
              <w:rPr>
                <w:b/>
                <w:i/>
              </w:rPr>
              <w:t>1 085 000 000 (одного миллиарда восьмидесяти пяти миллионов</w:t>
            </w:r>
            <w:r w:rsidR="00543235">
              <w:rPr>
                <w:i/>
              </w:rPr>
              <w:t>)</w:t>
            </w:r>
            <w:r w:rsidR="00C37AEB" w:rsidRPr="00C33424">
              <w:t xml:space="preserve"> </w:t>
            </w:r>
            <w:r w:rsidR="00C37AEB" w:rsidRPr="00543235">
              <w:rPr>
                <w:b/>
                <w:i/>
              </w:rPr>
              <w:t>долларов США</w:t>
            </w:r>
            <w:r w:rsidR="00C37AEB" w:rsidRPr="00C33424">
              <w:t xml:space="preserve"> </w:t>
            </w:r>
            <w:r w:rsidRPr="00C33424">
              <w:rPr>
                <w:rFonts w:eastAsia="SimSun"/>
                <w:b/>
                <w:i/>
                <w:lang w:eastAsia="en-US"/>
              </w:rPr>
              <w:t xml:space="preserve">или </w:t>
            </w:r>
            <w:r w:rsidR="001455E5" w:rsidRPr="00C33424">
              <w:rPr>
                <w:rFonts w:eastAsia="SimSun"/>
                <w:b/>
                <w:i/>
                <w:lang w:eastAsia="en-US"/>
              </w:rPr>
              <w:t>1</w:t>
            </w:r>
            <w:r w:rsidR="00543235">
              <w:rPr>
                <w:rFonts w:eastAsia="SimSun"/>
                <w:b/>
                <w:i/>
                <w:lang w:eastAsia="en-US"/>
              </w:rPr>
              <w:t>2</w:t>
            </w:r>
            <w:r w:rsidR="001455E5" w:rsidRPr="00C33424">
              <w:rPr>
                <w:rFonts w:eastAsia="SimSun"/>
                <w:b/>
                <w:i/>
                <w:lang w:eastAsia="en-US"/>
              </w:rPr>
              <w:t>4,</w:t>
            </w:r>
            <w:r w:rsidR="00543235">
              <w:rPr>
                <w:rFonts w:eastAsia="SimSun"/>
                <w:b/>
                <w:i/>
                <w:lang w:eastAsia="en-US"/>
              </w:rPr>
              <w:t>92</w:t>
            </w:r>
            <w:r w:rsidRPr="00C33424">
              <w:rPr>
                <w:rFonts w:eastAsia="SimSun"/>
                <w:b/>
                <w:i/>
                <w:lang w:eastAsia="en-US"/>
              </w:rPr>
              <w:t xml:space="preserve">% </w:t>
            </w:r>
            <w:r w:rsidRPr="00B234AB">
              <w:rPr>
                <w:rFonts w:eastAsia="SimSun"/>
                <w:b/>
                <w:i/>
                <w:lang w:eastAsia="en-US"/>
              </w:rPr>
              <w:t>от стоимости активов эмитента.</w:t>
            </w:r>
          </w:p>
          <w:p w:rsidR="00407257" w:rsidRPr="00C72B8F" w:rsidRDefault="00407257" w:rsidP="006F39F1">
            <w:pPr>
              <w:ind w:left="142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C34AD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7</w:t>
            </w:r>
            <w:r w:rsidRPr="00AC34AD">
              <w:rPr>
                <w:sz w:val="22"/>
                <w:szCs w:val="22"/>
              </w:rPr>
              <w:t>. </w:t>
            </w:r>
            <w:r w:rsidRPr="00623090">
              <w:rPr>
                <w:sz w:val="22"/>
                <w:szCs w:val="22"/>
              </w:rPr>
              <w:t>Стоимость активов лица, предоставившего обеспечение по облигациям эмитента, которое совершило сделку, на дату окончания последнего завершенного отчетного периода, предшествующего совершению сделки (заключению договора)</w:t>
            </w:r>
            <w:r w:rsidRPr="00623090">
              <w:rPr>
                <w:color w:val="000000"/>
                <w:sz w:val="22"/>
                <w:szCs w:val="22"/>
              </w:rPr>
              <w:t xml:space="preserve">: </w:t>
            </w:r>
            <w:r w:rsidRPr="00AC34AD">
              <w:rPr>
                <w:sz w:val="22"/>
                <w:szCs w:val="22"/>
              </w:rPr>
              <w:t xml:space="preserve"> </w:t>
            </w:r>
            <w:r w:rsidRPr="00AC34AD">
              <w:rPr>
                <w:b/>
                <w:i/>
                <w:sz w:val="22"/>
                <w:szCs w:val="22"/>
              </w:rPr>
              <w:t>по состоянию на 3</w:t>
            </w:r>
            <w:r w:rsidR="006F39F1">
              <w:rPr>
                <w:b/>
                <w:i/>
                <w:sz w:val="22"/>
                <w:szCs w:val="22"/>
              </w:rPr>
              <w:t>0</w:t>
            </w:r>
            <w:r w:rsidRPr="00AC34AD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>0</w:t>
            </w:r>
            <w:r w:rsidR="006F39F1">
              <w:rPr>
                <w:b/>
                <w:i/>
                <w:sz w:val="22"/>
                <w:szCs w:val="22"/>
              </w:rPr>
              <w:t>9</w:t>
            </w:r>
            <w:r w:rsidRPr="00AC34AD">
              <w:rPr>
                <w:b/>
                <w:i/>
                <w:sz w:val="22"/>
                <w:szCs w:val="22"/>
              </w:rPr>
              <w:t>.201</w:t>
            </w:r>
            <w:r>
              <w:rPr>
                <w:b/>
                <w:i/>
                <w:sz w:val="22"/>
                <w:szCs w:val="22"/>
              </w:rPr>
              <w:t xml:space="preserve">9 г. </w:t>
            </w:r>
            <w:r w:rsidRPr="00AC34AD">
              <w:rPr>
                <w:sz w:val="22"/>
                <w:szCs w:val="22"/>
              </w:rPr>
              <w:t>–</w:t>
            </w:r>
            <w:r w:rsidR="006F39F1">
              <w:rPr>
                <w:sz w:val="22"/>
                <w:szCs w:val="22"/>
              </w:rPr>
              <w:t xml:space="preserve"> </w:t>
            </w:r>
            <w:r w:rsidR="001455E5" w:rsidRPr="00EE33D1">
              <w:rPr>
                <w:b/>
                <w:i/>
                <w:sz w:val="22"/>
                <w:szCs w:val="22"/>
              </w:rPr>
              <w:t>55 456 310 237</w:t>
            </w:r>
            <w:r w:rsidR="001455E5" w:rsidRPr="00B53895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="001455E5" w:rsidRPr="00AC34AD">
              <w:rPr>
                <w:b/>
                <w:bCs/>
                <w:i/>
                <w:iCs/>
                <w:sz w:val="22"/>
                <w:szCs w:val="22"/>
              </w:rPr>
              <w:t>руб.</w:t>
            </w:r>
          </w:p>
          <w:p w:rsidR="00407257" w:rsidRDefault="00407257" w:rsidP="006F39F1">
            <w:pPr>
              <w:ind w:left="142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C72B8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8</w:t>
            </w:r>
            <w:r w:rsidRPr="00C72B8F">
              <w:rPr>
                <w:sz w:val="22"/>
                <w:szCs w:val="22"/>
              </w:rPr>
              <w:t>. Дата совершения сделки (заключения договора):</w:t>
            </w:r>
            <w:r w:rsidRPr="005232B4">
              <w:rPr>
                <w:sz w:val="22"/>
                <w:szCs w:val="22"/>
              </w:rPr>
              <w:t xml:space="preserve"> </w:t>
            </w:r>
            <w:r w:rsidR="00E34C6A">
              <w:rPr>
                <w:b/>
                <w:i/>
                <w:sz w:val="22"/>
                <w:szCs w:val="22"/>
              </w:rPr>
              <w:t>30</w:t>
            </w:r>
            <w:r w:rsidRPr="005232B4">
              <w:rPr>
                <w:b/>
                <w:i/>
                <w:sz w:val="22"/>
                <w:szCs w:val="22"/>
              </w:rPr>
              <w:t xml:space="preserve"> </w:t>
            </w:r>
            <w:r w:rsidR="006F39F1">
              <w:rPr>
                <w:b/>
                <w:i/>
                <w:sz w:val="22"/>
                <w:szCs w:val="22"/>
              </w:rPr>
              <w:t>октября</w:t>
            </w:r>
            <w:r w:rsidRPr="005232B4">
              <w:rPr>
                <w:b/>
                <w:i/>
                <w:sz w:val="22"/>
                <w:szCs w:val="22"/>
              </w:rPr>
              <w:t xml:space="preserve"> </w:t>
            </w:r>
            <w:r w:rsidRPr="005232B4">
              <w:rPr>
                <w:b/>
                <w:bCs/>
                <w:i/>
                <w:iCs/>
                <w:sz w:val="22"/>
                <w:szCs w:val="22"/>
              </w:rPr>
              <w:t>201</w:t>
            </w:r>
            <w:r>
              <w:rPr>
                <w:b/>
                <w:bCs/>
                <w:i/>
                <w:iCs/>
                <w:sz w:val="22"/>
                <w:szCs w:val="22"/>
              </w:rPr>
              <w:t>9</w:t>
            </w:r>
            <w:r w:rsidRPr="005232B4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  <w:p w:rsidR="000A705B" w:rsidRPr="00407257" w:rsidRDefault="00407257" w:rsidP="00C33424">
            <w:pPr>
              <w:ind w:left="142" w:right="113"/>
              <w:jc w:val="both"/>
            </w:pPr>
            <w:r>
              <w:rPr>
                <w:sz w:val="22"/>
                <w:szCs w:val="22"/>
              </w:rPr>
              <w:t>2.9</w:t>
            </w:r>
            <w:r w:rsidRPr="00C72B8F">
              <w:rPr>
                <w:sz w:val="22"/>
                <w:szCs w:val="22"/>
              </w:rPr>
              <w:t>. </w:t>
            </w:r>
            <w:r w:rsidRPr="00623090">
              <w:rPr>
                <w:sz w:val="22"/>
                <w:szCs w:val="22"/>
              </w:rPr>
              <w:t>Сведения о принятии решения о согласии на совершение или о последующем одобрении сделки в случае, когда такое решение было принято уполномоченным органом управления лица, предоставившего обеспечение по облигациям эмитента, которое совершило сделку (наименование органа управления организации, принявшего решение о согласии на совершение или о последующем одобрении сделки, дата принятия указанного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сделки не принималось</w:t>
            </w:r>
            <w:r w:rsidRPr="00623090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33424">
              <w:rPr>
                <w:b/>
                <w:bCs/>
                <w:i/>
                <w:iCs/>
                <w:sz w:val="22"/>
                <w:szCs w:val="22"/>
              </w:rPr>
              <w:t>сделка одобрен</w:t>
            </w:r>
            <w:r w:rsidR="006F39F1" w:rsidRPr="00C33424">
              <w:rPr>
                <w:b/>
                <w:bCs/>
                <w:i/>
                <w:iCs/>
                <w:sz w:val="22"/>
                <w:szCs w:val="22"/>
              </w:rPr>
              <w:t xml:space="preserve">а решением единственного акционера АО «РУСАЛ Красноярск» </w:t>
            </w:r>
            <w:r w:rsidR="00C33424" w:rsidRPr="00C33424">
              <w:rPr>
                <w:b/>
                <w:bCs/>
                <w:i/>
                <w:iCs/>
                <w:sz w:val="22"/>
                <w:szCs w:val="22"/>
              </w:rPr>
              <w:t xml:space="preserve">№ б/н </w:t>
            </w:r>
            <w:r w:rsidR="006F39F1" w:rsidRPr="00C33424">
              <w:rPr>
                <w:b/>
                <w:bCs/>
                <w:i/>
                <w:iCs/>
                <w:sz w:val="22"/>
                <w:szCs w:val="22"/>
              </w:rPr>
              <w:t xml:space="preserve">от </w:t>
            </w:r>
            <w:r w:rsidR="00C33424" w:rsidRPr="00C33424">
              <w:rPr>
                <w:b/>
                <w:bCs/>
                <w:i/>
                <w:iCs/>
                <w:sz w:val="22"/>
                <w:szCs w:val="22"/>
              </w:rPr>
              <w:t>25.10.2019 г</w:t>
            </w:r>
            <w:r w:rsidRPr="00C33424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</w:tr>
    </w:tbl>
    <w:p w:rsidR="00EE1ACA" w:rsidRPr="00C72B8F" w:rsidRDefault="00EE1ACA">
      <w:pPr>
        <w:rPr>
          <w:sz w:val="22"/>
          <w:szCs w:val="22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0A705B" w:rsidRPr="00C72B8F" w:rsidTr="009E20A1">
        <w:tc>
          <w:tcPr>
            <w:tcW w:w="10234" w:type="dxa"/>
          </w:tcPr>
          <w:p w:rsidR="000A705B" w:rsidRPr="00C72B8F" w:rsidRDefault="00B44DFE">
            <w:pPr>
              <w:ind w:left="85" w:right="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Подпись</w:t>
            </w:r>
          </w:p>
        </w:tc>
      </w:tr>
      <w:tr w:rsidR="000A705B" w:rsidRPr="00C72B8F" w:rsidTr="009E20A1">
        <w:tc>
          <w:tcPr>
            <w:tcW w:w="10234" w:type="dxa"/>
          </w:tcPr>
          <w:p w:rsidR="000A705B" w:rsidRPr="00C72B8F" w:rsidRDefault="000A705B" w:rsidP="00155B51">
            <w:pPr>
              <w:spacing w:before="120"/>
              <w:ind w:left="85" w:right="85"/>
              <w:jc w:val="both"/>
              <w:rPr>
                <w:sz w:val="22"/>
                <w:szCs w:val="22"/>
              </w:rPr>
            </w:pPr>
            <w:r w:rsidRPr="00C72B8F">
              <w:rPr>
                <w:sz w:val="22"/>
                <w:szCs w:val="22"/>
              </w:rPr>
              <w:t>3.1. Управляющ</w:t>
            </w:r>
            <w:r w:rsidR="00767741">
              <w:rPr>
                <w:sz w:val="22"/>
                <w:szCs w:val="22"/>
              </w:rPr>
              <w:t>ий</w:t>
            </w:r>
            <w:r w:rsidRPr="00C72B8F">
              <w:rPr>
                <w:sz w:val="22"/>
                <w:szCs w:val="22"/>
              </w:rPr>
              <w:t xml:space="preserve"> директор</w:t>
            </w:r>
          </w:p>
          <w:p w:rsidR="00767741" w:rsidRDefault="00EC7A60">
            <w:pPr>
              <w:ind w:left="85" w:right="8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П</w:t>
            </w:r>
            <w:r w:rsidR="000A705B" w:rsidRPr="00C72B8F">
              <w:rPr>
                <w:sz w:val="22"/>
                <w:szCs w:val="22"/>
              </w:rPr>
              <w:t xml:space="preserve">АО «РУСАЛ Братск»                      </w:t>
            </w:r>
            <w:r w:rsidR="00411CC4">
              <w:rPr>
                <w:sz w:val="22"/>
                <w:szCs w:val="22"/>
              </w:rPr>
              <w:t xml:space="preserve">           </w:t>
            </w:r>
            <w:r w:rsidR="000A705B" w:rsidRPr="00C72B8F">
              <w:rPr>
                <w:sz w:val="22"/>
                <w:szCs w:val="22"/>
              </w:rPr>
              <w:t xml:space="preserve">______________                      </w:t>
            </w:r>
            <w:r w:rsidR="00EB7E26">
              <w:rPr>
                <w:sz w:val="22"/>
                <w:szCs w:val="22"/>
              </w:rPr>
              <w:t>Е</w:t>
            </w:r>
            <w:r w:rsidR="00767741">
              <w:rPr>
                <w:sz w:val="22"/>
                <w:szCs w:val="22"/>
              </w:rPr>
              <w:t>.Ю.</w:t>
            </w:r>
            <w:r w:rsidR="00542D52">
              <w:rPr>
                <w:sz w:val="22"/>
                <w:szCs w:val="22"/>
              </w:rPr>
              <w:t xml:space="preserve"> </w:t>
            </w:r>
            <w:r w:rsidR="00EB7E26">
              <w:rPr>
                <w:sz w:val="22"/>
                <w:szCs w:val="22"/>
              </w:rPr>
              <w:t>З</w:t>
            </w:r>
            <w:r w:rsidR="00767741">
              <w:rPr>
                <w:sz w:val="22"/>
                <w:szCs w:val="22"/>
              </w:rPr>
              <w:t>енкин</w:t>
            </w:r>
          </w:p>
          <w:p w:rsidR="00E53309" w:rsidRPr="004873A9" w:rsidRDefault="000C0B97">
            <w:pPr>
              <w:ind w:left="85" w:right="85"/>
              <w:jc w:val="both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</w:t>
            </w:r>
            <w:r w:rsidRPr="004873A9">
              <w:t>(подпись)</w:t>
            </w:r>
          </w:p>
          <w:p w:rsidR="000A705B" w:rsidRDefault="000A705B" w:rsidP="00155B51">
            <w:pPr>
              <w:ind w:left="85" w:right="85"/>
              <w:jc w:val="both"/>
              <w:rPr>
                <w:sz w:val="22"/>
                <w:szCs w:val="22"/>
              </w:rPr>
            </w:pPr>
            <w:r w:rsidRPr="00C72B8F">
              <w:rPr>
                <w:sz w:val="22"/>
                <w:szCs w:val="22"/>
              </w:rPr>
              <w:t xml:space="preserve">3.2. </w:t>
            </w:r>
            <w:r w:rsidRPr="005232B4">
              <w:rPr>
                <w:sz w:val="22"/>
                <w:szCs w:val="22"/>
              </w:rPr>
              <w:t>Дата «</w:t>
            </w:r>
            <w:r w:rsidR="00E34C6A">
              <w:rPr>
                <w:sz w:val="22"/>
                <w:szCs w:val="22"/>
              </w:rPr>
              <w:t>30</w:t>
            </w:r>
            <w:bookmarkStart w:id="0" w:name="_GoBack"/>
            <w:bookmarkEnd w:id="0"/>
            <w:r w:rsidRPr="005232B4">
              <w:rPr>
                <w:sz w:val="22"/>
                <w:szCs w:val="22"/>
              </w:rPr>
              <w:t xml:space="preserve">» </w:t>
            </w:r>
            <w:r w:rsidR="006F39F1">
              <w:rPr>
                <w:sz w:val="22"/>
                <w:szCs w:val="22"/>
              </w:rPr>
              <w:t>октября</w:t>
            </w:r>
            <w:r w:rsidRPr="005232B4">
              <w:rPr>
                <w:sz w:val="22"/>
                <w:szCs w:val="22"/>
              </w:rPr>
              <w:t xml:space="preserve"> 201</w:t>
            </w:r>
            <w:r w:rsidR="008943F6">
              <w:rPr>
                <w:sz w:val="22"/>
                <w:szCs w:val="22"/>
              </w:rPr>
              <w:t>9</w:t>
            </w:r>
            <w:r w:rsidRPr="005232B4">
              <w:rPr>
                <w:sz w:val="22"/>
                <w:szCs w:val="22"/>
              </w:rPr>
              <w:t xml:space="preserve"> г.</w:t>
            </w:r>
            <w:r w:rsidRPr="00C72B8F">
              <w:rPr>
                <w:sz w:val="22"/>
                <w:szCs w:val="22"/>
              </w:rPr>
              <w:t xml:space="preserve">             </w:t>
            </w:r>
            <w:r w:rsidR="008943F6">
              <w:rPr>
                <w:sz w:val="22"/>
                <w:szCs w:val="22"/>
              </w:rPr>
              <w:t xml:space="preserve">                       </w:t>
            </w:r>
            <w:r w:rsidR="001107A4">
              <w:rPr>
                <w:sz w:val="22"/>
                <w:szCs w:val="22"/>
              </w:rPr>
              <w:t xml:space="preserve">  </w:t>
            </w:r>
            <w:r w:rsidRPr="00C72B8F">
              <w:rPr>
                <w:sz w:val="22"/>
                <w:szCs w:val="22"/>
              </w:rPr>
              <w:t>М.П.</w:t>
            </w:r>
          </w:p>
          <w:p w:rsidR="00155B51" w:rsidRPr="00C72B8F" w:rsidRDefault="00155B51" w:rsidP="00155B51">
            <w:pPr>
              <w:ind w:left="85" w:right="85"/>
              <w:jc w:val="both"/>
              <w:rPr>
                <w:sz w:val="22"/>
                <w:szCs w:val="22"/>
              </w:rPr>
            </w:pPr>
          </w:p>
        </w:tc>
      </w:tr>
    </w:tbl>
    <w:p w:rsidR="000A705B" w:rsidRDefault="000A705B" w:rsidP="00C72B8F"/>
    <w:sectPr w:rsidR="000A705B" w:rsidSect="00767741">
      <w:headerReference w:type="even" r:id="rId10"/>
      <w:headerReference w:type="default" r:id="rId11"/>
      <w:pgSz w:w="11906" w:h="16838"/>
      <w:pgMar w:top="567" w:right="567" w:bottom="709" w:left="1134" w:header="397" w:footer="28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059" w:rsidRDefault="00623059" w:rsidP="00A64438">
      <w:r>
        <w:separator/>
      </w:r>
    </w:p>
  </w:endnote>
  <w:endnote w:type="continuationSeparator" w:id="0">
    <w:p w:rsidR="00623059" w:rsidRDefault="00623059" w:rsidP="00A6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059" w:rsidRDefault="00623059" w:rsidP="00A64438">
      <w:r>
        <w:separator/>
      </w:r>
    </w:p>
  </w:footnote>
  <w:footnote w:type="continuationSeparator" w:id="0">
    <w:p w:rsidR="00623059" w:rsidRDefault="00623059" w:rsidP="00A64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ACA" w:rsidRDefault="00F06DE0" w:rsidP="0080707C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EE1ACA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E1ACA" w:rsidRDefault="00EE1ACA" w:rsidP="00EE1AC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ACA" w:rsidRDefault="00F06DE0" w:rsidP="0080707C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EE1ACA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34C6A">
      <w:rPr>
        <w:rStyle w:val="ad"/>
        <w:noProof/>
      </w:rPr>
      <w:t>2</w:t>
    </w:r>
    <w:r>
      <w:rPr>
        <w:rStyle w:val="ad"/>
      </w:rPr>
      <w:fldChar w:fldCharType="end"/>
    </w:r>
  </w:p>
  <w:p w:rsidR="000A705B" w:rsidRDefault="000A705B" w:rsidP="00EE1ACA">
    <w:pPr>
      <w:pStyle w:val="a5"/>
      <w:ind w:right="360"/>
      <w:jc w:val="right"/>
      <w:rPr>
        <w:sz w:val="14"/>
        <w:szCs w:val="14"/>
      </w:rPr>
    </w:pPr>
  </w:p>
  <w:p w:rsidR="000A705B" w:rsidRDefault="000A705B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5B44"/>
    <w:multiLevelType w:val="hybridMultilevel"/>
    <w:tmpl w:val="53B4A954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B900E0"/>
    <w:multiLevelType w:val="hybridMultilevel"/>
    <w:tmpl w:val="A708580A"/>
    <w:lvl w:ilvl="0" w:tplc="7B4EE910">
      <w:start w:val="1"/>
      <w:numFmt w:val="decimal"/>
      <w:lvlText w:val="%1)"/>
      <w:lvlJc w:val="left"/>
      <w:pPr>
        <w:ind w:left="113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 w15:restartNumberingAfterBreak="0">
    <w:nsid w:val="16223FD5"/>
    <w:multiLevelType w:val="hybridMultilevel"/>
    <w:tmpl w:val="C0FE5E42"/>
    <w:lvl w:ilvl="0" w:tplc="C508691E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1A28273B"/>
    <w:multiLevelType w:val="hybridMultilevel"/>
    <w:tmpl w:val="FA649496"/>
    <w:lvl w:ilvl="0" w:tplc="362451FE">
      <w:start w:val="2"/>
      <w:numFmt w:val="bullet"/>
      <w:lvlText w:val="-"/>
      <w:lvlJc w:val="left"/>
      <w:pPr>
        <w:tabs>
          <w:tab w:val="num" w:pos="445"/>
        </w:tabs>
        <w:ind w:left="445" w:hanging="360"/>
      </w:pPr>
      <w:rPr>
        <w:rFonts w:ascii="Times New Roman" w:eastAsia="Times New Roman" w:hAnsi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165"/>
        </w:tabs>
        <w:ind w:left="11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85"/>
        </w:tabs>
        <w:ind w:left="18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05"/>
        </w:tabs>
        <w:ind w:left="26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25"/>
        </w:tabs>
        <w:ind w:left="33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45"/>
        </w:tabs>
        <w:ind w:left="40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65"/>
        </w:tabs>
        <w:ind w:left="47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85"/>
        </w:tabs>
        <w:ind w:left="54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05"/>
        </w:tabs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28F91891"/>
    <w:multiLevelType w:val="hybridMultilevel"/>
    <w:tmpl w:val="53B4A954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A90D5E"/>
    <w:multiLevelType w:val="hybridMultilevel"/>
    <w:tmpl w:val="CA768F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CB2E01"/>
    <w:multiLevelType w:val="hybridMultilevel"/>
    <w:tmpl w:val="FE06F1BA"/>
    <w:lvl w:ilvl="0" w:tplc="D4F65B40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36227391"/>
    <w:multiLevelType w:val="hybridMultilevel"/>
    <w:tmpl w:val="53B4A954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7A227B"/>
    <w:multiLevelType w:val="multilevel"/>
    <w:tmpl w:val="EF4A9D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70F7F39"/>
    <w:multiLevelType w:val="hybridMultilevel"/>
    <w:tmpl w:val="F11C70EA"/>
    <w:lvl w:ilvl="0" w:tplc="205A6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6C48F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B36DA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31EF4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8EE5A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FC8FD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E425E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1328B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8FA7B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373350E1"/>
    <w:multiLevelType w:val="multilevel"/>
    <w:tmpl w:val="1A5A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A7E52"/>
    <w:multiLevelType w:val="hybridMultilevel"/>
    <w:tmpl w:val="A3CEA31C"/>
    <w:lvl w:ilvl="0" w:tplc="903485BA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13" w15:restartNumberingAfterBreak="0">
    <w:nsid w:val="4E2530B4"/>
    <w:multiLevelType w:val="hybridMultilevel"/>
    <w:tmpl w:val="4852FD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87EE0"/>
    <w:multiLevelType w:val="hybridMultilevel"/>
    <w:tmpl w:val="16FAB746"/>
    <w:lvl w:ilvl="0" w:tplc="6B925B1A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5B8E30D6"/>
    <w:multiLevelType w:val="hybridMultilevel"/>
    <w:tmpl w:val="83AE1F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DEA1357"/>
    <w:multiLevelType w:val="singleLevel"/>
    <w:tmpl w:val="57027ED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7" w15:restartNumberingAfterBreak="0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8" w15:restartNumberingAfterBreak="0">
    <w:nsid w:val="6D3E4191"/>
    <w:multiLevelType w:val="multilevel"/>
    <w:tmpl w:val="D264BE3C"/>
    <w:lvl w:ilvl="0">
      <w:start w:val="1"/>
      <w:numFmt w:val="decimal"/>
      <w:suff w:val="space"/>
      <w:lvlText w:val="%1."/>
      <w:lvlJc w:val="center"/>
      <w:pPr>
        <w:ind w:left="360" w:hanging="72"/>
      </w:pPr>
      <w:rPr>
        <w:rFonts w:ascii="Arial" w:hAnsi="Arial" w:cs="Times New Roman" w:hint="default"/>
        <w:b/>
        <w:i w:val="0"/>
        <w:caps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Arial" w:hAnsi="Arial" w:cs="Times New Roman" w:hint="default"/>
        <w:sz w:val="2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20" w15:restartNumberingAfterBreak="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7"/>
  </w:num>
  <w:num w:numId="5">
    <w:abstractNumId w:val="19"/>
  </w:num>
  <w:num w:numId="6">
    <w:abstractNumId w:val="12"/>
  </w:num>
  <w:num w:numId="7">
    <w:abstractNumId w:val="6"/>
  </w:num>
  <w:num w:numId="8">
    <w:abstractNumId w:val="16"/>
  </w:num>
  <w:num w:numId="9">
    <w:abstractNumId w:val="14"/>
  </w:num>
  <w:num w:numId="10">
    <w:abstractNumId w:val="1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0"/>
  </w:num>
  <w:num w:numId="14">
    <w:abstractNumId w:val="8"/>
  </w:num>
  <w:num w:numId="15">
    <w:abstractNumId w:val="16"/>
    <w:lvlOverride w:ilvl="0">
      <w:startOverride w:val="1"/>
    </w:lvlOverride>
  </w:num>
  <w:num w:numId="16">
    <w:abstractNumId w:val="18"/>
    <w:lvlOverride w:ilvl="0">
      <w:lvl w:ilvl="0">
        <w:start w:val="1"/>
        <w:numFmt w:val="decimal"/>
        <w:suff w:val="space"/>
        <w:lvlText w:val="%1."/>
        <w:lvlJc w:val="center"/>
        <w:pPr>
          <w:ind w:left="360" w:hanging="72"/>
        </w:pPr>
        <w:rPr>
          <w:rFonts w:ascii="Times New Roman" w:hAnsi="Times New Roman" w:cs="Times New Roman" w:hint="default"/>
          <w:b/>
          <w:i w:val="0"/>
          <w:caps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42" w:hanging="432"/>
        </w:pPr>
        <w:rPr>
          <w:rFonts w:ascii="Times New Roman" w:hAnsi="Times New Roman" w:cs="Times New Roman" w:hint="default"/>
          <w:b w:val="0"/>
          <w:i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224" w:hanging="504"/>
        </w:pPr>
        <w:rPr>
          <w:rFonts w:ascii="Times New Roman" w:eastAsia="MS Mincho" w:hAnsi="Times New Roman" w:cs="Times New Roman"/>
          <w:b w:val="0"/>
          <w:i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728" w:hanging="648"/>
        </w:pPr>
        <w:rPr>
          <w:rFonts w:ascii="Arial" w:hAnsi="Arial" w:cs="Times New Roman" w:hint="default"/>
          <w:color w:val="auto"/>
          <w:sz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232" w:hanging="792"/>
        </w:pPr>
        <w:rPr>
          <w:rFonts w:ascii="Symbol" w:hAnsi="Symbol" w:hint="default"/>
          <w:color w:val="0000FF"/>
          <w:sz w:val="20"/>
          <w:u w:val="doubl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  <w:color w:val="0000FF"/>
          <w:u w:val="double"/>
        </w:rPr>
      </w:lvl>
    </w:lvlOverride>
  </w:num>
  <w:num w:numId="17">
    <w:abstractNumId w:val="18"/>
    <w:lvlOverride w:ilvl="0">
      <w:lvl w:ilvl="0">
        <w:start w:val="1"/>
        <w:numFmt w:val="decimal"/>
        <w:suff w:val="space"/>
        <w:lvlText w:val="%1."/>
        <w:lvlJc w:val="center"/>
        <w:pPr>
          <w:ind w:left="360" w:hanging="72"/>
        </w:pPr>
        <w:rPr>
          <w:rFonts w:ascii="Times New Roman" w:eastAsia="MS Mincho" w:hAnsi="Times New Roman" w:cs="Times New Roman"/>
          <w:b/>
          <w:i w:val="0"/>
          <w:caps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rFonts w:ascii="Times New Roman" w:hAnsi="Times New Roman" w:cs="Times New Roman" w:hint="default"/>
          <w:b w:val="0"/>
          <w:i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224" w:hanging="504"/>
        </w:pPr>
        <w:rPr>
          <w:rFonts w:ascii="Times New Roman" w:eastAsia="MS Mincho" w:hAnsi="Times New Roman" w:cs="Times New Roman"/>
          <w:b w:val="0"/>
          <w:i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728" w:hanging="648"/>
        </w:pPr>
        <w:rPr>
          <w:rFonts w:ascii="Arial" w:hAnsi="Arial" w:cs="Times New Roman" w:hint="default"/>
          <w:color w:val="auto"/>
          <w:sz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232" w:hanging="792"/>
        </w:pPr>
        <w:rPr>
          <w:rFonts w:ascii="Symbol" w:hAnsi="Symbol" w:hint="default"/>
          <w:color w:val="0000FF"/>
          <w:sz w:val="20"/>
          <w:u w:val="doubl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  <w:color w:val="0000FF"/>
          <w:u w:val="double"/>
        </w:rPr>
      </w:lvl>
    </w:lvlOverride>
  </w:num>
  <w:num w:numId="18">
    <w:abstractNumId w:val="4"/>
  </w:num>
  <w:num w:numId="19">
    <w:abstractNumId w:val="7"/>
  </w:num>
  <w:num w:numId="20">
    <w:abstractNumId w:val="0"/>
  </w:num>
  <w:num w:numId="21">
    <w:abstractNumId w:val="11"/>
  </w:num>
  <w:num w:numId="22">
    <w:abstractNumId w:val="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54A"/>
    <w:rsid w:val="00007496"/>
    <w:rsid w:val="00021C08"/>
    <w:rsid w:val="00025FB8"/>
    <w:rsid w:val="00037089"/>
    <w:rsid w:val="000414F3"/>
    <w:rsid w:val="00044E9A"/>
    <w:rsid w:val="00045216"/>
    <w:rsid w:val="00045449"/>
    <w:rsid w:val="00055E4E"/>
    <w:rsid w:val="00066B23"/>
    <w:rsid w:val="00080BE9"/>
    <w:rsid w:val="00084D77"/>
    <w:rsid w:val="00090EE2"/>
    <w:rsid w:val="000966F4"/>
    <w:rsid w:val="000969B4"/>
    <w:rsid w:val="000A2EC1"/>
    <w:rsid w:val="000A705B"/>
    <w:rsid w:val="000B0F94"/>
    <w:rsid w:val="000C0B97"/>
    <w:rsid w:val="000C0F3B"/>
    <w:rsid w:val="000C2027"/>
    <w:rsid w:val="000C4ACC"/>
    <w:rsid w:val="000C6829"/>
    <w:rsid w:val="000D1AFF"/>
    <w:rsid w:val="000D5916"/>
    <w:rsid w:val="000E02AB"/>
    <w:rsid w:val="000E3B40"/>
    <w:rsid w:val="000E69FB"/>
    <w:rsid w:val="000F2CF3"/>
    <w:rsid w:val="00105C14"/>
    <w:rsid w:val="001107A4"/>
    <w:rsid w:val="00126977"/>
    <w:rsid w:val="001350AC"/>
    <w:rsid w:val="0014282E"/>
    <w:rsid w:val="00144CA6"/>
    <w:rsid w:val="001455E5"/>
    <w:rsid w:val="0014607D"/>
    <w:rsid w:val="00147691"/>
    <w:rsid w:val="00155B51"/>
    <w:rsid w:val="00165337"/>
    <w:rsid w:val="0016595D"/>
    <w:rsid w:val="0016760E"/>
    <w:rsid w:val="00171713"/>
    <w:rsid w:val="00183AD2"/>
    <w:rsid w:val="00186522"/>
    <w:rsid w:val="001906E5"/>
    <w:rsid w:val="0019709D"/>
    <w:rsid w:val="001B4F89"/>
    <w:rsid w:val="001C560A"/>
    <w:rsid w:val="001D0C87"/>
    <w:rsid w:val="001D3692"/>
    <w:rsid w:val="001D3FA9"/>
    <w:rsid w:val="001D411F"/>
    <w:rsid w:val="001E4B2F"/>
    <w:rsid w:val="002113A6"/>
    <w:rsid w:val="00214712"/>
    <w:rsid w:val="0022034B"/>
    <w:rsid w:val="00236D63"/>
    <w:rsid w:val="002404AC"/>
    <w:rsid w:val="0025266E"/>
    <w:rsid w:val="00257ED7"/>
    <w:rsid w:val="002635E3"/>
    <w:rsid w:val="00277146"/>
    <w:rsid w:val="002815FA"/>
    <w:rsid w:val="00283E01"/>
    <w:rsid w:val="002908CC"/>
    <w:rsid w:val="0029134E"/>
    <w:rsid w:val="002A6DF0"/>
    <w:rsid w:val="002B5A1C"/>
    <w:rsid w:val="002C32BD"/>
    <w:rsid w:val="002D2F09"/>
    <w:rsid w:val="002D379F"/>
    <w:rsid w:val="002D5973"/>
    <w:rsid w:val="002D5C17"/>
    <w:rsid w:val="002F2B74"/>
    <w:rsid w:val="00302B2F"/>
    <w:rsid w:val="0030690A"/>
    <w:rsid w:val="003133F6"/>
    <w:rsid w:val="00314A3E"/>
    <w:rsid w:val="003305A6"/>
    <w:rsid w:val="00330738"/>
    <w:rsid w:val="00342268"/>
    <w:rsid w:val="003504C0"/>
    <w:rsid w:val="003507F0"/>
    <w:rsid w:val="00354197"/>
    <w:rsid w:val="00381F04"/>
    <w:rsid w:val="00385CF3"/>
    <w:rsid w:val="00387CEA"/>
    <w:rsid w:val="00393BC1"/>
    <w:rsid w:val="003974CA"/>
    <w:rsid w:val="003B7D6E"/>
    <w:rsid w:val="003C123E"/>
    <w:rsid w:val="003C457B"/>
    <w:rsid w:val="003F16F6"/>
    <w:rsid w:val="003F3552"/>
    <w:rsid w:val="003F612A"/>
    <w:rsid w:val="004007AC"/>
    <w:rsid w:val="004017DD"/>
    <w:rsid w:val="00404C76"/>
    <w:rsid w:val="00407257"/>
    <w:rsid w:val="00411CC4"/>
    <w:rsid w:val="00414E29"/>
    <w:rsid w:val="00424FD2"/>
    <w:rsid w:val="0042573E"/>
    <w:rsid w:val="0042582C"/>
    <w:rsid w:val="00441CC5"/>
    <w:rsid w:val="0044642A"/>
    <w:rsid w:val="0044778F"/>
    <w:rsid w:val="004525B1"/>
    <w:rsid w:val="00452799"/>
    <w:rsid w:val="00456E17"/>
    <w:rsid w:val="00470F2D"/>
    <w:rsid w:val="004716BB"/>
    <w:rsid w:val="00472ACB"/>
    <w:rsid w:val="00473DFB"/>
    <w:rsid w:val="004750D9"/>
    <w:rsid w:val="0047744A"/>
    <w:rsid w:val="004873A9"/>
    <w:rsid w:val="004A0575"/>
    <w:rsid w:val="004A29F7"/>
    <w:rsid w:val="004C283C"/>
    <w:rsid w:val="004C449F"/>
    <w:rsid w:val="004C4E70"/>
    <w:rsid w:val="004C6F97"/>
    <w:rsid w:val="004D2EB1"/>
    <w:rsid w:val="004D558F"/>
    <w:rsid w:val="004E0BB6"/>
    <w:rsid w:val="004E2955"/>
    <w:rsid w:val="004E29A3"/>
    <w:rsid w:val="004E78E0"/>
    <w:rsid w:val="004F354A"/>
    <w:rsid w:val="004F6B66"/>
    <w:rsid w:val="00504781"/>
    <w:rsid w:val="00507708"/>
    <w:rsid w:val="005123D2"/>
    <w:rsid w:val="00512B97"/>
    <w:rsid w:val="0052246E"/>
    <w:rsid w:val="005232B4"/>
    <w:rsid w:val="00525104"/>
    <w:rsid w:val="0052678B"/>
    <w:rsid w:val="00540BE8"/>
    <w:rsid w:val="005411C5"/>
    <w:rsid w:val="005411D1"/>
    <w:rsid w:val="00542D52"/>
    <w:rsid w:val="005431BD"/>
    <w:rsid w:val="00543235"/>
    <w:rsid w:val="00544172"/>
    <w:rsid w:val="005516AC"/>
    <w:rsid w:val="005569B6"/>
    <w:rsid w:val="0056259D"/>
    <w:rsid w:val="00564F3A"/>
    <w:rsid w:val="005654CA"/>
    <w:rsid w:val="00570100"/>
    <w:rsid w:val="00573469"/>
    <w:rsid w:val="00573E4C"/>
    <w:rsid w:val="0058697C"/>
    <w:rsid w:val="005873E5"/>
    <w:rsid w:val="00591956"/>
    <w:rsid w:val="005A40B1"/>
    <w:rsid w:val="005B54C7"/>
    <w:rsid w:val="005B56BC"/>
    <w:rsid w:val="005C0CD0"/>
    <w:rsid w:val="005C514E"/>
    <w:rsid w:val="005C6902"/>
    <w:rsid w:val="005D79C8"/>
    <w:rsid w:val="005E2937"/>
    <w:rsid w:val="005E33AE"/>
    <w:rsid w:val="005E3738"/>
    <w:rsid w:val="005E3B93"/>
    <w:rsid w:val="005E4561"/>
    <w:rsid w:val="005E566A"/>
    <w:rsid w:val="005E7137"/>
    <w:rsid w:val="005F09AE"/>
    <w:rsid w:val="005F1409"/>
    <w:rsid w:val="005F19DB"/>
    <w:rsid w:val="005F2162"/>
    <w:rsid w:val="005F2F4C"/>
    <w:rsid w:val="005F4257"/>
    <w:rsid w:val="00600ADA"/>
    <w:rsid w:val="00601D02"/>
    <w:rsid w:val="00601E3C"/>
    <w:rsid w:val="0060675A"/>
    <w:rsid w:val="006122E2"/>
    <w:rsid w:val="006200DD"/>
    <w:rsid w:val="00621391"/>
    <w:rsid w:val="00623059"/>
    <w:rsid w:val="00623D3E"/>
    <w:rsid w:val="00624AC4"/>
    <w:rsid w:val="00625D37"/>
    <w:rsid w:val="00634829"/>
    <w:rsid w:val="006429FB"/>
    <w:rsid w:val="00643DEE"/>
    <w:rsid w:val="0065099F"/>
    <w:rsid w:val="0065128A"/>
    <w:rsid w:val="00652979"/>
    <w:rsid w:val="00652A8B"/>
    <w:rsid w:val="00655B33"/>
    <w:rsid w:val="0065612B"/>
    <w:rsid w:val="006613A2"/>
    <w:rsid w:val="00661503"/>
    <w:rsid w:val="006675C9"/>
    <w:rsid w:val="00675971"/>
    <w:rsid w:val="00676979"/>
    <w:rsid w:val="00695CD8"/>
    <w:rsid w:val="006A0D7B"/>
    <w:rsid w:val="006A17A1"/>
    <w:rsid w:val="006A1C03"/>
    <w:rsid w:val="006A261D"/>
    <w:rsid w:val="006A26D2"/>
    <w:rsid w:val="006A5973"/>
    <w:rsid w:val="006A5AA0"/>
    <w:rsid w:val="006C53C5"/>
    <w:rsid w:val="006D42F6"/>
    <w:rsid w:val="006F39F1"/>
    <w:rsid w:val="007035BE"/>
    <w:rsid w:val="0071019D"/>
    <w:rsid w:val="007142C4"/>
    <w:rsid w:val="007329B1"/>
    <w:rsid w:val="0073427B"/>
    <w:rsid w:val="007346D2"/>
    <w:rsid w:val="0074308E"/>
    <w:rsid w:val="00746294"/>
    <w:rsid w:val="00750DA5"/>
    <w:rsid w:val="0075276C"/>
    <w:rsid w:val="00767741"/>
    <w:rsid w:val="00772AD8"/>
    <w:rsid w:val="00772FF2"/>
    <w:rsid w:val="00773718"/>
    <w:rsid w:val="007739D9"/>
    <w:rsid w:val="0077751D"/>
    <w:rsid w:val="00783CFB"/>
    <w:rsid w:val="007A2324"/>
    <w:rsid w:val="007A6A16"/>
    <w:rsid w:val="007B4349"/>
    <w:rsid w:val="007C6EF5"/>
    <w:rsid w:val="007D00D4"/>
    <w:rsid w:val="007F76CA"/>
    <w:rsid w:val="008003FB"/>
    <w:rsid w:val="00802D5C"/>
    <w:rsid w:val="0080707C"/>
    <w:rsid w:val="0081520E"/>
    <w:rsid w:val="00826418"/>
    <w:rsid w:val="00834187"/>
    <w:rsid w:val="00842014"/>
    <w:rsid w:val="00845D1E"/>
    <w:rsid w:val="00847D25"/>
    <w:rsid w:val="00856891"/>
    <w:rsid w:val="00861BB2"/>
    <w:rsid w:val="00861F73"/>
    <w:rsid w:val="008675F6"/>
    <w:rsid w:val="00874FD4"/>
    <w:rsid w:val="008770DA"/>
    <w:rsid w:val="0088105C"/>
    <w:rsid w:val="008943D4"/>
    <w:rsid w:val="008943F6"/>
    <w:rsid w:val="008978C7"/>
    <w:rsid w:val="008A1FDE"/>
    <w:rsid w:val="008A239B"/>
    <w:rsid w:val="008B232E"/>
    <w:rsid w:val="008B3080"/>
    <w:rsid w:val="008C650E"/>
    <w:rsid w:val="008D7ECC"/>
    <w:rsid w:val="008E14D7"/>
    <w:rsid w:val="008E32E5"/>
    <w:rsid w:val="009023A6"/>
    <w:rsid w:val="00912204"/>
    <w:rsid w:val="00915B33"/>
    <w:rsid w:val="009223C0"/>
    <w:rsid w:val="0093236E"/>
    <w:rsid w:val="00932F07"/>
    <w:rsid w:val="0093485A"/>
    <w:rsid w:val="00934F4D"/>
    <w:rsid w:val="00941548"/>
    <w:rsid w:val="009543E3"/>
    <w:rsid w:val="00955C2C"/>
    <w:rsid w:val="00964FC7"/>
    <w:rsid w:val="00966567"/>
    <w:rsid w:val="009665DE"/>
    <w:rsid w:val="0098338C"/>
    <w:rsid w:val="009A0783"/>
    <w:rsid w:val="009A5719"/>
    <w:rsid w:val="009B02ED"/>
    <w:rsid w:val="009B10CA"/>
    <w:rsid w:val="009B2871"/>
    <w:rsid w:val="009B44DD"/>
    <w:rsid w:val="009B5D7A"/>
    <w:rsid w:val="009C0F74"/>
    <w:rsid w:val="009C125A"/>
    <w:rsid w:val="009C69C4"/>
    <w:rsid w:val="009E20A1"/>
    <w:rsid w:val="009E4398"/>
    <w:rsid w:val="009E47CC"/>
    <w:rsid w:val="009E508D"/>
    <w:rsid w:val="009E7C4F"/>
    <w:rsid w:val="009F36ED"/>
    <w:rsid w:val="00A14147"/>
    <w:rsid w:val="00A202DE"/>
    <w:rsid w:val="00A24B60"/>
    <w:rsid w:val="00A252C4"/>
    <w:rsid w:val="00A31FD7"/>
    <w:rsid w:val="00A41B73"/>
    <w:rsid w:val="00A45C0F"/>
    <w:rsid w:val="00A57F9B"/>
    <w:rsid w:val="00A64438"/>
    <w:rsid w:val="00A652D3"/>
    <w:rsid w:val="00A657A7"/>
    <w:rsid w:val="00A715F5"/>
    <w:rsid w:val="00A85C19"/>
    <w:rsid w:val="00A95FA0"/>
    <w:rsid w:val="00AA51D0"/>
    <w:rsid w:val="00AB17D7"/>
    <w:rsid w:val="00AB1A1E"/>
    <w:rsid w:val="00AC13B8"/>
    <w:rsid w:val="00AC34AD"/>
    <w:rsid w:val="00AD0F5A"/>
    <w:rsid w:val="00AE0927"/>
    <w:rsid w:val="00AE1277"/>
    <w:rsid w:val="00AE5135"/>
    <w:rsid w:val="00AF59EC"/>
    <w:rsid w:val="00B01125"/>
    <w:rsid w:val="00B07549"/>
    <w:rsid w:val="00B11EE6"/>
    <w:rsid w:val="00B2245F"/>
    <w:rsid w:val="00B234AB"/>
    <w:rsid w:val="00B30E24"/>
    <w:rsid w:val="00B338BA"/>
    <w:rsid w:val="00B33DB3"/>
    <w:rsid w:val="00B3632A"/>
    <w:rsid w:val="00B4249A"/>
    <w:rsid w:val="00B44DFE"/>
    <w:rsid w:val="00B64F6B"/>
    <w:rsid w:val="00B65B4E"/>
    <w:rsid w:val="00B66E42"/>
    <w:rsid w:val="00B77169"/>
    <w:rsid w:val="00B84AB5"/>
    <w:rsid w:val="00B85B39"/>
    <w:rsid w:val="00B87E52"/>
    <w:rsid w:val="00B91EC0"/>
    <w:rsid w:val="00BA095C"/>
    <w:rsid w:val="00BA4C1A"/>
    <w:rsid w:val="00BC3867"/>
    <w:rsid w:val="00BD274B"/>
    <w:rsid w:val="00BF2DCD"/>
    <w:rsid w:val="00BF55A2"/>
    <w:rsid w:val="00C019F2"/>
    <w:rsid w:val="00C0495B"/>
    <w:rsid w:val="00C04BC6"/>
    <w:rsid w:val="00C06EA6"/>
    <w:rsid w:val="00C15D8F"/>
    <w:rsid w:val="00C2247B"/>
    <w:rsid w:val="00C328BC"/>
    <w:rsid w:val="00C33424"/>
    <w:rsid w:val="00C34A95"/>
    <w:rsid w:val="00C37AEB"/>
    <w:rsid w:val="00C42D91"/>
    <w:rsid w:val="00C44208"/>
    <w:rsid w:val="00C543ED"/>
    <w:rsid w:val="00C64211"/>
    <w:rsid w:val="00C64A05"/>
    <w:rsid w:val="00C72B8F"/>
    <w:rsid w:val="00C746F4"/>
    <w:rsid w:val="00C75570"/>
    <w:rsid w:val="00C77ECD"/>
    <w:rsid w:val="00C97E32"/>
    <w:rsid w:val="00CA1B45"/>
    <w:rsid w:val="00CA2E98"/>
    <w:rsid w:val="00CA6279"/>
    <w:rsid w:val="00CA6F47"/>
    <w:rsid w:val="00CB4BBA"/>
    <w:rsid w:val="00CC5BFD"/>
    <w:rsid w:val="00CC5C1E"/>
    <w:rsid w:val="00CD121A"/>
    <w:rsid w:val="00CD4340"/>
    <w:rsid w:val="00CD732D"/>
    <w:rsid w:val="00CF0C42"/>
    <w:rsid w:val="00CF2230"/>
    <w:rsid w:val="00CF34CA"/>
    <w:rsid w:val="00CF3BC7"/>
    <w:rsid w:val="00D00144"/>
    <w:rsid w:val="00D00BA9"/>
    <w:rsid w:val="00D0262B"/>
    <w:rsid w:val="00D04B51"/>
    <w:rsid w:val="00D04DE2"/>
    <w:rsid w:val="00D06C4C"/>
    <w:rsid w:val="00D076E6"/>
    <w:rsid w:val="00D151E4"/>
    <w:rsid w:val="00D21FF6"/>
    <w:rsid w:val="00D220FD"/>
    <w:rsid w:val="00D22F30"/>
    <w:rsid w:val="00D256CB"/>
    <w:rsid w:val="00D32D9F"/>
    <w:rsid w:val="00D33C1D"/>
    <w:rsid w:val="00D43786"/>
    <w:rsid w:val="00D6664B"/>
    <w:rsid w:val="00D71437"/>
    <w:rsid w:val="00D71657"/>
    <w:rsid w:val="00D7309A"/>
    <w:rsid w:val="00D73EEE"/>
    <w:rsid w:val="00D74CF6"/>
    <w:rsid w:val="00D82C89"/>
    <w:rsid w:val="00D86B89"/>
    <w:rsid w:val="00D90D9A"/>
    <w:rsid w:val="00D91267"/>
    <w:rsid w:val="00DA275B"/>
    <w:rsid w:val="00DA7663"/>
    <w:rsid w:val="00DB155A"/>
    <w:rsid w:val="00DB3EB6"/>
    <w:rsid w:val="00DD1EB9"/>
    <w:rsid w:val="00DF00CC"/>
    <w:rsid w:val="00DF612D"/>
    <w:rsid w:val="00DF6E13"/>
    <w:rsid w:val="00DF7532"/>
    <w:rsid w:val="00DF7B99"/>
    <w:rsid w:val="00E06648"/>
    <w:rsid w:val="00E16646"/>
    <w:rsid w:val="00E21671"/>
    <w:rsid w:val="00E23654"/>
    <w:rsid w:val="00E24F32"/>
    <w:rsid w:val="00E33455"/>
    <w:rsid w:val="00E34C6A"/>
    <w:rsid w:val="00E37EEB"/>
    <w:rsid w:val="00E42A41"/>
    <w:rsid w:val="00E504E6"/>
    <w:rsid w:val="00E53309"/>
    <w:rsid w:val="00E53992"/>
    <w:rsid w:val="00E64D36"/>
    <w:rsid w:val="00E662BE"/>
    <w:rsid w:val="00E73E9C"/>
    <w:rsid w:val="00E73FEB"/>
    <w:rsid w:val="00E74D89"/>
    <w:rsid w:val="00E7737C"/>
    <w:rsid w:val="00E8442E"/>
    <w:rsid w:val="00E902E8"/>
    <w:rsid w:val="00E968A9"/>
    <w:rsid w:val="00EA18A7"/>
    <w:rsid w:val="00EA2E33"/>
    <w:rsid w:val="00EB7E26"/>
    <w:rsid w:val="00EB7FBC"/>
    <w:rsid w:val="00EC3D5A"/>
    <w:rsid w:val="00EC7A60"/>
    <w:rsid w:val="00EE1ACA"/>
    <w:rsid w:val="00EF4A98"/>
    <w:rsid w:val="00F06DE0"/>
    <w:rsid w:val="00F170BC"/>
    <w:rsid w:val="00F22954"/>
    <w:rsid w:val="00F251C0"/>
    <w:rsid w:val="00F43DF7"/>
    <w:rsid w:val="00F47653"/>
    <w:rsid w:val="00F4765E"/>
    <w:rsid w:val="00F55844"/>
    <w:rsid w:val="00F56131"/>
    <w:rsid w:val="00F60C54"/>
    <w:rsid w:val="00F64FBE"/>
    <w:rsid w:val="00F662CC"/>
    <w:rsid w:val="00F70C0D"/>
    <w:rsid w:val="00F80132"/>
    <w:rsid w:val="00F84C0F"/>
    <w:rsid w:val="00F902AA"/>
    <w:rsid w:val="00F946C6"/>
    <w:rsid w:val="00FA0F7C"/>
    <w:rsid w:val="00FA5BEE"/>
    <w:rsid w:val="00FA7024"/>
    <w:rsid w:val="00FA728D"/>
    <w:rsid w:val="00FB20DB"/>
    <w:rsid w:val="00FB2D2E"/>
    <w:rsid w:val="00FB3D08"/>
    <w:rsid w:val="00FB6E31"/>
    <w:rsid w:val="00FC0B44"/>
    <w:rsid w:val="00FC4BBA"/>
    <w:rsid w:val="00FC76B5"/>
    <w:rsid w:val="00FD3AA9"/>
    <w:rsid w:val="00FE08D9"/>
    <w:rsid w:val="00FE1DC8"/>
    <w:rsid w:val="00FE5020"/>
    <w:rsid w:val="00FE7957"/>
    <w:rsid w:val="00F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E80E3"/>
  <w15:docId w15:val="{CB8D2090-A8EF-4607-8856-ECE98851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DE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F2DCD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06DE0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06DE0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rsid w:val="00F06DE0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F06DE0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06DE0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F06DE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06DE0"/>
    <w:rPr>
      <w:rFonts w:cs="Times New Roman"/>
      <w:sz w:val="20"/>
      <w:szCs w:val="20"/>
    </w:rPr>
  </w:style>
  <w:style w:type="paragraph" w:styleId="a9">
    <w:name w:val="Body Text"/>
    <w:basedOn w:val="a"/>
    <w:link w:val="aa"/>
    <w:uiPriority w:val="99"/>
    <w:rsid w:val="00F06DE0"/>
    <w:pPr>
      <w:spacing w:after="240"/>
      <w:jc w:val="center"/>
    </w:pPr>
    <w:rPr>
      <w:b/>
      <w:bCs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F06DE0"/>
    <w:rPr>
      <w:rFonts w:cs="Times New Roman"/>
      <w:sz w:val="20"/>
      <w:szCs w:val="20"/>
    </w:rPr>
  </w:style>
  <w:style w:type="paragraph" w:styleId="ab">
    <w:name w:val="Block Text"/>
    <w:basedOn w:val="a"/>
    <w:uiPriority w:val="99"/>
    <w:rsid w:val="00F06DE0"/>
    <w:pPr>
      <w:ind w:left="85" w:right="85"/>
      <w:jc w:val="both"/>
    </w:pPr>
    <w:rPr>
      <w:sz w:val="22"/>
      <w:szCs w:val="22"/>
    </w:rPr>
  </w:style>
  <w:style w:type="character" w:styleId="ac">
    <w:name w:val="Hyperlink"/>
    <w:basedOn w:val="a0"/>
    <w:uiPriority w:val="99"/>
    <w:rsid w:val="00EE1ACA"/>
    <w:rPr>
      <w:rFonts w:cs="Times New Roman"/>
      <w:color w:val="0000FF"/>
      <w:u w:val="single"/>
    </w:rPr>
  </w:style>
  <w:style w:type="character" w:styleId="ad">
    <w:name w:val="page number"/>
    <w:basedOn w:val="a0"/>
    <w:uiPriority w:val="99"/>
    <w:rsid w:val="00EE1ACA"/>
    <w:rPr>
      <w:rFonts w:cs="Times New Roman"/>
    </w:rPr>
  </w:style>
  <w:style w:type="paragraph" w:styleId="2">
    <w:name w:val="Body Text 2"/>
    <w:basedOn w:val="a"/>
    <w:link w:val="20"/>
    <w:uiPriority w:val="99"/>
    <w:rsid w:val="00393BC1"/>
    <w:pPr>
      <w:autoSpaceDE/>
      <w:autoSpaceDN/>
      <w:ind w:right="-40"/>
      <w:jc w:val="both"/>
    </w:pPr>
    <w:rPr>
      <w:color w:val="FF0000"/>
      <w:sz w:val="22"/>
    </w:rPr>
  </w:style>
  <w:style w:type="character" w:customStyle="1" w:styleId="20">
    <w:name w:val="Основной текст 2 Знак"/>
    <w:basedOn w:val="a0"/>
    <w:link w:val="2"/>
    <w:uiPriority w:val="99"/>
    <w:locked/>
    <w:rsid w:val="00EC3D5A"/>
    <w:rPr>
      <w:rFonts w:cs="Times New Roman"/>
      <w:sz w:val="20"/>
      <w:szCs w:val="20"/>
    </w:rPr>
  </w:style>
  <w:style w:type="paragraph" w:customStyle="1" w:styleId="21">
    <w:name w:val="Основной текст 21"/>
    <w:basedOn w:val="a"/>
    <w:rsid w:val="005411C5"/>
    <w:pPr>
      <w:autoSpaceDE/>
      <w:autoSpaceDN/>
      <w:ind w:right="-40"/>
      <w:jc w:val="both"/>
    </w:pPr>
    <w:rPr>
      <w:color w:val="FF0000"/>
      <w:sz w:val="22"/>
    </w:rPr>
  </w:style>
  <w:style w:type="character" w:customStyle="1" w:styleId="Subst">
    <w:name w:val="Subst"/>
    <w:rsid w:val="00AC34AD"/>
    <w:rPr>
      <w:b/>
      <w:i/>
    </w:rPr>
  </w:style>
  <w:style w:type="paragraph" w:customStyle="1" w:styleId="1">
    <w:name w:val="Обычный1"/>
    <w:rsid w:val="00DA275B"/>
    <w:pPr>
      <w:widowControl w:val="0"/>
      <w:spacing w:after="0" w:line="280" w:lineRule="auto"/>
      <w:ind w:left="40" w:firstLine="720"/>
    </w:pPr>
    <w:rPr>
      <w:sz w:val="20"/>
      <w:szCs w:val="20"/>
    </w:rPr>
  </w:style>
  <w:style w:type="paragraph" w:styleId="ae">
    <w:name w:val="Title"/>
    <w:basedOn w:val="a"/>
    <w:link w:val="af"/>
    <w:uiPriority w:val="10"/>
    <w:qFormat/>
    <w:locked/>
    <w:rsid w:val="0093485A"/>
    <w:pPr>
      <w:autoSpaceDE/>
      <w:autoSpaceDN/>
      <w:jc w:val="center"/>
    </w:pPr>
    <w:rPr>
      <w:sz w:val="24"/>
    </w:rPr>
  </w:style>
  <w:style w:type="character" w:customStyle="1" w:styleId="af">
    <w:name w:val="Заголовок Знак"/>
    <w:basedOn w:val="a0"/>
    <w:link w:val="ae"/>
    <w:uiPriority w:val="10"/>
    <w:locked/>
    <w:rsid w:val="0093485A"/>
    <w:rPr>
      <w:rFonts w:cs="Times New Roman"/>
      <w:sz w:val="20"/>
      <w:szCs w:val="20"/>
    </w:rPr>
  </w:style>
  <w:style w:type="character" w:customStyle="1" w:styleId="apple-converted-space">
    <w:name w:val="apple-converted-space"/>
    <w:rsid w:val="009C0F74"/>
  </w:style>
  <w:style w:type="paragraph" w:styleId="22">
    <w:name w:val="Body Text Indent 2"/>
    <w:basedOn w:val="a"/>
    <w:link w:val="23"/>
    <w:uiPriority w:val="99"/>
    <w:semiHidden/>
    <w:unhideWhenUsed/>
    <w:rsid w:val="004C4E7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4C4E70"/>
    <w:rPr>
      <w:rFonts w:cs="Times New Roman"/>
      <w:sz w:val="20"/>
      <w:szCs w:val="20"/>
    </w:rPr>
  </w:style>
  <w:style w:type="paragraph" w:styleId="af0">
    <w:name w:val="Body Text Indent"/>
    <w:basedOn w:val="a"/>
    <w:link w:val="af1"/>
    <w:uiPriority w:val="99"/>
    <w:semiHidden/>
    <w:unhideWhenUsed/>
    <w:rsid w:val="004C4E7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4C4E70"/>
    <w:rPr>
      <w:rFonts w:cs="Times New Roman"/>
      <w:sz w:val="20"/>
      <w:szCs w:val="20"/>
    </w:rPr>
  </w:style>
  <w:style w:type="paragraph" w:customStyle="1" w:styleId="Default">
    <w:name w:val="Default"/>
    <w:rsid w:val="007739D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0969B4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unhideWhenUsed/>
    <w:rsid w:val="000969B4"/>
    <w:pPr>
      <w:autoSpaceDE/>
      <w:autoSpaceDN/>
    </w:pPr>
    <w:rPr>
      <w:rFonts w:cs="Mangal"/>
      <w:lang w:val="en-US"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0969B4"/>
    <w:rPr>
      <w:rFonts w:eastAsia="Times New Roman" w:cs="Mangal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DB155A"/>
    <w:pPr>
      <w:autoSpaceDE/>
      <w:autoSpaceDN/>
      <w:ind w:left="720"/>
      <w:contextualSpacing/>
    </w:pPr>
    <w:rPr>
      <w:rFonts w:eastAsiaTheme="minorHAnsi" w:cstheme="minorBidi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68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az-rusal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1A5DC-B4A0-49AF-934F-31DE19FCC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15</vt:lpstr>
    </vt:vector>
  </TitlesOfParts>
  <Company>Rusal</Company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15</dc:title>
  <dc:creator>Prof-SlejovaNA</dc:creator>
  <cp:lastModifiedBy>Ukhanova Tatiyana</cp:lastModifiedBy>
  <cp:revision>4</cp:revision>
  <cp:lastPrinted>2018-07-23T04:31:00Z</cp:lastPrinted>
  <dcterms:created xsi:type="dcterms:W3CDTF">2019-10-29T11:45:00Z</dcterms:created>
  <dcterms:modified xsi:type="dcterms:W3CDTF">2019-10-31T05:21:00Z</dcterms:modified>
</cp:coreProperties>
</file>