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5FE" w:rsidRPr="00EA36AF" w:rsidRDefault="00EA36AF" w:rsidP="00EA36AF">
      <w:pPr>
        <w:pStyle w:val="a9"/>
        <w:jc w:val="center"/>
        <w:rPr>
          <w:b/>
          <w:bCs/>
          <w:sz w:val="24"/>
          <w:szCs w:val="22"/>
        </w:rPr>
      </w:pPr>
      <w:r w:rsidRPr="00EA36AF">
        <w:rPr>
          <w:b/>
          <w:sz w:val="22"/>
          <w:shd w:val="clear" w:color="auto" w:fill="FFFFFF"/>
        </w:rPr>
        <w:t xml:space="preserve">Сообщение о существенном </w:t>
      </w:r>
      <w:proofErr w:type="gramStart"/>
      <w:r w:rsidRPr="00EA36AF">
        <w:rPr>
          <w:b/>
          <w:sz w:val="22"/>
          <w:shd w:val="clear" w:color="auto" w:fill="FFFFFF"/>
        </w:rPr>
        <w:t>факте</w:t>
      </w:r>
      <w:proofErr w:type="gramEnd"/>
      <w:r w:rsidRPr="00EA36AF">
        <w:rPr>
          <w:b/>
          <w:sz w:val="22"/>
          <w:shd w:val="clear" w:color="auto" w:fill="FFFFFF"/>
        </w:rPr>
        <w:t xml:space="preserve"> о совершении лицом, предоставившим</w:t>
      </w:r>
      <w:r w:rsidRPr="00EA36AF">
        <w:rPr>
          <w:rStyle w:val="apple-converted-space"/>
          <w:rFonts w:ascii="Arial" w:hAnsi="Arial" w:cs="Arial"/>
          <w:b/>
          <w:color w:val="000000"/>
          <w:szCs w:val="18"/>
          <w:shd w:val="clear" w:color="auto" w:fill="FFFFFF"/>
        </w:rPr>
        <w:t> </w:t>
      </w:r>
      <w:r w:rsidRPr="00EA36AF">
        <w:rPr>
          <w:b/>
          <w:sz w:val="22"/>
        </w:rPr>
        <w:br/>
      </w:r>
      <w:r w:rsidRPr="00EA36AF">
        <w:rPr>
          <w:b/>
          <w:sz w:val="22"/>
          <w:shd w:val="clear" w:color="auto" w:fill="FFFFFF"/>
        </w:rPr>
        <w:t>обеспечение по облигациям эмитента, существенной сделки</w:t>
      </w:r>
    </w:p>
    <w:tbl>
      <w:tblPr>
        <w:tblW w:w="0" w:type="auto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3855FE" w:rsidRPr="009159C9" w:rsidTr="00A61916">
        <w:trPr>
          <w:cantSplit/>
        </w:trPr>
        <w:tc>
          <w:tcPr>
            <w:tcW w:w="9951" w:type="dxa"/>
            <w:gridSpan w:val="2"/>
          </w:tcPr>
          <w:p w:rsidR="003855FE" w:rsidRPr="009159C9" w:rsidRDefault="003855FE" w:rsidP="00A61916">
            <w:pPr>
              <w:jc w:val="center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 Общие сведения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1.1. Полное фирменное наименование эмитента</w:t>
            </w:r>
          </w:p>
        </w:tc>
        <w:tc>
          <w:tcPr>
            <w:tcW w:w="4976" w:type="dxa"/>
          </w:tcPr>
          <w:p w:rsidR="00F5019D" w:rsidRPr="00F5019D" w:rsidRDefault="00A51838" w:rsidP="00F5019D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</w:t>
            </w:r>
            <w:r w:rsidR="00F5019D" w:rsidRPr="00F5019D">
              <w:rPr>
                <w:b/>
                <w:bCs/>
                <w:i/>
                <w:iCs/>
                <w:sz w:val="22"/>
                <w:szCs w:val="22"/>
              </w:rPr>
              <w:t>ое акционерное общество</w:t>
            </w:r>
          </w:p>
          <w:p w:rsidR="003855FE" w:rsidRPr="009159C9" w:rsidRDefault="00F5019D" w:rsidP="00F5019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5019D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3855FE" w:rsidRPr="009159C9" w:rsidTr="00A51838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  <w:vAlign w:val="center"/>
          </w:tcPr>
          <w:p w:rsidR="003855FE" w:rsidRPr="009159C9" w:rsidRDefault="00A51838" w:rsidP="00A51838">
            <w:pPr>
              <w:keepNext/>
              <w:spacing w:before="120" w:after="60"/>
              <w:outlineLvl w:val="1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</w:t>
            </w:r>
            <w:r w:rsidR="00F5019D" w:rsidRPr="00F5019D">
              <w:rPr>
                <w:b/>
                <w:bCs/>
                <w:i/>
                <w:iCs/>
                <w:sz w:val="22"/>
                <w:szCs w:val="22"/>
              </w:rPr>
              <w:t>АО «РУСАЛ Братск»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3855FE" w:rsidRPr="009159C9" w:rsidRDefault="00F5019D" w:rsidP="00A6191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5019D">
              <w:rPr>
                <w:b/>
                <w:bCs/>
                <w:i/>
                <w:iCs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4976" w:type="dxa"/>
          </w:tcPr>
          <w:p w:rsidR="003855FE" w:rsidRPr="009159C9" w:rsidRDefault="00F5019D" w:rsidP="00A6191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5019D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4976" w:type="dxa"/>
          </w:tcPr>
          <w:p w:rsidR="003855FE" w:rsidRPr="009159C9" w:rsidRDefault="00F5019D" w:rsidP="00F5019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5019D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1.6.</w:t>
            </w:r>
            <w:r w:rsidRPr="009159C9">
              <w:rPr>
                <w:sz w:val="22"/>
                <w:szCs w:val="22"/>
                <w:lang w:val="en-US"/>
              </w:rPr>
              <w:t> </w:t>
            </w:r>
            <w:r w:rsidRPr="009159C9">
              <w:rPr>
                <w:sz w:val="22"/>
                <w:szCs w:val="22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3855FE" w:rsidRPr="009159C9" w:rsidRDefault="00F5019D" w:rsidP="00A6191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5019D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1.7.</w:t>
            </w:r>
            <w:r w:rsidRPr="009159C9">
              <w:rPr>
                <w:sz w:val="22"/>
                <w:szCs w:val="22"/>
                <w:lang w:val="en-US"/>
              </w:rPr>
              <w:t> </w:t>
            </w:r>
            <w:r w:rsidRPr="009159C9">
              <w:rPr>
                <w:sz w:val="22"/>
                <w:szCs w:val="22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3855FE" w:rsidRPr="00A51838" w:rsidRDefault="00F5019D" w:rsidP="00A6191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51838">
              <w:rPr>
                <w:rStyle w:val="a3"/>
                <w:b/>
                <w:i/>
              </w:rPr>
              <w:t>http://braz-rusal.ru/,</w:t>
            </w:r>
            <w:r w:rsidRPr="00F5019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hyperlink r:id="rId9" w:history="1">
              <w:r w:rsidR="00A51838" w:rsidRPr="00740CF3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http://www.e-disclosure.ru/portal/company.aspx?id=838</w:t>
              </w:r>
            </w:hyperlink>
          </w:p>
          <w:p w:rsidR="00A51838" w:rsidRPr="00A51838" w:rsidRDefault="00A51838" w:rsidP="00A6191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3855FE" w:rsidRPr="009159C9" w:rsidRDefault="003855FE" w:rsidP="003855FE">
      <w:pPr>
        <w:rPr>
          <w:sz w:val="22"/>
          <w:szCs w:val="2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3855FE" w:rsidRPr="009159C9" w:rsidTr="00A61916">
        <w:tc>
          <w:tcPr>
            <w:tcW w:w="9923" w:type="dxa"/>
            <w:shd w:val="clear" w:color="auto" w:fill="auto"/>
          </w:tcPr>
          <w:p w:rsidR="003855FE" w:rsidRPr="009159C9" w:rsidRDefault="003855FE" w:rsidP="00A61916">
            <w:pPr>
              <w:jc w:val="center"/>
              <w:rPr>
                <w:b/>
                <w:sz w:val="22"/>
                <w:szCs w:val="22"/>
              </w:rPr>
            </w:pPr>
            <w:r w:rsidRPr="009159C9">
              <w:rPr>
                <w:b/>
                <w:sz w:val="22"/>
                <w:szCs w:val="22"/>
              </w:rPr>
              <w:t>2. Содержание сообщения</w:t>
            </w:r>
          </w:p>
        </w:tc>
      </w:tr>
      <w:tr w:rsidR="00B45FC6" w:rsidRPr="00B45FC6" w:rsidTr="00A61916">
        <w:tc>
          <w:tcPr>
            <w:tcW w:w="9923" w:type="dxa"/>
            <w:shd w:val="clear" w:color="auto" w:fill="auto"/>
          </w:tcPr>
          <w:p w:rsidR="003855FE" w:rsidRPr="00B45FC6" w:rsidRDefault="00EA36AF" w:rsidP="00EA36AF">
            <w:pPr>
              <w:pStyle w:val="a9"/>
              <w:rPr>
                <w:sz w:val="22"/>
                <w:szCs w:val="22"/>
              </w:rPr>
            </w:pPr>
            <w:r w:rsidRPr="00B45FC6">
              <w:rPr>
                <w:sz w:val="22"/>
                <w:szCs w:val="22"/>
                <w:shd w:val="clear" w:color="auto" w:fill="FFFFFF"/>
              </w:rPr>
              <w:t>2.1. Вид организации, которая совершила существенную сделку: лицо, предоставившее обеспечение по облигациям эмитента</w:t>
            </w:r>
            <w:r w:rsidRPr="00B45FC6">
              <w:rPr>
                <w:sz w:val="22"/>
                <w:szCs w:val="22"/>
              </w:rPr>
              <w:br/>
            </w:r>
            <w:r w:rsidRPr="00B45FC6">
              <w:rPr>
                <w:sz w:val="22"/>
                <w:szCs w:val="22"/>
                <w:shd w:val="clear" w:color="auto" w:fill="FFFFFF"/>
              </w:rPr>
              <w:t>Полное фирменное наименование: Акционерное общество «РУСАЛ Красноярский Алюминиевый Завод»</w:t>
            </w:r>
            <w:r w:rsidRPr="00B45FC6">
              <w:rPr>
                <w:rStyle w:val="apple-converted-space"/>
                <w:rFonts w:ascii="Arial" w:hAnsi="Arial" w:cs="Arial"/>
                <w:sz w:val="22"/>
                <w:szCs w:val="22"/>
                <w:shd w:val="clear" w:color="auto" w:fill="FFFFFF"/>
              </w:rPr>
              <w:t> </w:t>
            </w:r>
            <w:r w:rsidRPr="00B45FC6">
              <w:rPr>
                <w:sz w:val="22"/>
                <w:szCs w:val="22"/>
              </w:rPr>
              <w:br/>
            </w:r>
            <w:r w:rsidRPr="00B45FC6">
              <w:rPr>
                <w:sz w:val="22"/>
                <w:szCs w:val="22"/>
                <w:shd w:val="clear" w:color="auto" w:fill="FFFFFF"/>
              </w:rPr>
              <w:t>Место нахождения: 660111, Российская Федерация, г. Красноярск, ул. Пограничников, 40.</w:t>
            </w:r>
            <w:r w:rsidRPr="00B45FC6">
              <w:rPr>
                <w:sz w:val="22"/>
                <w:szCs w:val="22"/>
              </w:rPr>
              <w:br/>
            </w:r>
            <w:r w:rsidRPr="00B45FC6">
              <w:rPr>
                <w:sz w:val="22"/>
                <w:szCs w:val="22"/>
                <w:shd w:val="clear" w:color="auto" w:fill="FFFFFF"/>
              </w:rPr>
              <w:t>ИНН: 2465000141</w:t>
            </w:r>
            <w:r w:rsidRPr="00B45FC6">
              <w:rPr>
                <w:sz w:val="22"/>
                <w:szCs w:val="22"/>
              </w:rPr>
              <w:br/>
            </w:r>
            <w:r w:rsidRPr="00B45FC6">
              <w:rPr>
                <w:sz w:val="22"/>
                <w:szCs w:val="22"/>
                <w:shd w:val="clear" w:color="auto" w:fill="FFFFFF"/>
              </w:rPr>
              <w:t>ОГРН: 1022402468010</w:t>
            </w:r>
            <w:r w:rsidRPr="00B45FC6">
              <w:rPr>
                <w:sz w:val="22"/>
                <w:szCs w:val="22"/>
              </w:rPr>
              <w:br/>
            </w:r>
            <w:r w:rsidR="003855FE" w:rsidRPr="00B45FC6">
              <w:rPr>
                <w:sz w:val="22"/>
                <w:szCs w:val="22"/>
              </w:rPr>
              <w:t>2.2. Категория сделки:</w:t>
            </w:r>
            <w:r w:rsidR="003855FE" w:rsidRPr="00B45FC6">
              <w:rPr>
                <w:i/>
                <w:sz w:val="22"/>
                <w:szCs w:val="22"/>
              </w:rPr>
              <w:t xml:space="preserve"> </w:t>
            </w:r>
            <w:r w:rsidR="004674A8" w:rsidRPr="00B45FC6">
              <w:rPr>
                <w:b/>
                <w:i/>
                <w:sz w:val="22"/>
                <w:szCs w:val="22"/>
              </w:rPr>
              <w:t>крупная сделка</w:t>
            </w:r>
            <w:r w:rsidR="00F847B6" w:rsidRPr="00B45FC6">
              <w:rPr>
                <w:b/>
                <w:i/>
                <w:sz w:val="22"/>
                <w:szCs w:val="22"/>
              </w:rPr>
              <w:t>.</w:t>
            </w:r>
          </w:p>
          <w:p w:rsidR="003855FE" w:rsidRPr="00B45FC6" w:rsidRDefault="003855FE" w:rsidP="00873521">
            <w:pPr>
              <w:pStyle w:val="a9"/>
              <w:rPr>
                <w:sz w:val="22"/>
                <w:szCs w:val="22"/>
              </w:rPr>
            </w:pPr>
            <w:r w:rsidRPr="00B45FC6">
              <w:rPr>
                <w:sz w:val="22"/>
                <w:szCs w:val="22"/>
              </w:rPr>
              <w:t xml:space="preserve">2.3. Вид и предмет сделки: </w:t>
            </w:r>
            <w:r w:rsidR="00A51838" w:rsidRPr="00B45FC6">
              <w:rPr>
                <w:rFonts w:eastAsia="SimSun"/>
                <w:b/>
                <w:bCs/>
                <w:i/>
                <w:sz w:val="22"/>
                <w:szCs w:val="22"/>
              </w:rPr>
              <w:t>совершение</w:t>
            </w:r>
            <w:r w:rsidR="00A51838" w:rsidRPr="00B45FC6">
              <w:rPr>
                <w:rFonts w:eastAsia="Calibri"/>
                <w:b/>
                <w:i/>
                <w:sz w:val="22"/>
                <w:szCs w:val="22"/>
              </w:rPr>
              <w:t xml:space="preserve"> </w:t>
            </w:r>
            <w:r w:rsidR="00A51838" w:rsidRPr="00B45FC6">
              <w:rPr>
                <w:b/>
                <w:i/>
                <w:sz w:val="22"/>
                <w:szCs w:val="22"/>
              </w:rPr>
              <w:t xml:space="preserve">крупной </w:t>
            </w:r>
            <w:r w:rsidR="004674A8" w:rsidRPr="00B45FC6">
              <w:rPr>
                <w:b/>
                <w:i/>
                <w:sz w:val="22"/>
                <w:szCs w:val="22"/>
              </w:rPr>
              <w:t>сделки (взаимосвязанных сделок)</w:t>
            </w:r>
            <w:r w:rsidR="00873521" w:rsidRPr="00B45FC6">
              <w:rPr>
                <w:b/>
                <w:i/>
                <w:sz w:val="22"/>
                <w:szCs w:val="22"/>
              </w:rPr>
              <w:t>.</w:t>
            </w:r>
          </w:p>
          <w:p w:rsidR="00C56713" w:rsidRPr="00B45FC6" w:rsidRDefault="003855FE" w:rsidP="00C5671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45FC6">
              <w:rPr>
                <w:rFonts w:ascii="Times New Roman" w:hAnsi="Times New Roman" w:cs="Times New Roman"/>
                <w:sz w:val="22"/>
                <w:szCs w:val="22"/>
              </w:rPr>
              <w:t xml:space="preserve">2.4. Содержание сделки, в том числе гражданские права и обязанности, на установление, изменение или прекращение которых направлена совершенная сделка: </w:t>
            </w:r>
            <w:r w:rsidR="00873521" w:rsidRPr="00B45F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674A8" w:rsidRPr="00B45FC6" w:rsidRDefault="00C56713" w:rsidP="00C56713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B45FC6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C50A95" w:rsidRPr="00B45FC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аключение </w:t>
            </w:r>
            <w:r w:rsidR="004674A8" w:rsidRPr="00B45FC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и подписание Обществом следующих документов (далее – «Сделка»):</w:t>
            </w:r>
          </w:p>
          <w:p w:rsidR="00F07C04" w:rsidRPr="00B45FC6" w:rsidRDefault="0071282D" w:rsidP="0071282D">
            <w:pPr>
              <w:tabs>
                <w:tab w:val="left" w:pos="709"/>
                <w:tab w:val="left" w:pos="1134"/>
              </w:tabs>
              <w:autoSpaceDE/>
              <w:autoSpaceDN/>
              <w:spacing w:after="240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B45FC6">
              <w:rPr>
                <w:rFonts w:eastAsia="Calibri" w:cs="Mangal"/>
                <w:b/>
                <w:i/>
                <w:sz w:val="22"/>
                <w:szCs w:val="22"/>
                <w:lang w:eastAsia="en-US"/>
              </w:rPr>
              <w:t xml:space="preserve">1. </w:t>
            </w:r>
            <w:r w:rsidR="00F07C04" w:rsidRPr="00B45FC6">
              <w:rPr>
                <w:rFonts w:eastAsia="Calibri" w:cs="Mangal"/>
                <w:b/>
                <w:i/>
                <w:sz w:val="22"/>
                <w:szCs w:val="22"/>
                <w:lang w:eastAsia="en-US"/>
              </w:rPr>
              <w:t>Письмо о согласии (</w:t>
            </w:r>
            <w:r w:rsidR="00F07C04" w:rsidRPr="00B45FC6">
              <w:rPr>
                <w:rFonts w:eastAsia="Calibri" w:cs="Mangal"/>
                <w:b/>
                <w:i/>
                <w:sz w:val="22"/>
                <w:szCs w:val="22"/>
                <w:lang w:val="en-US" w:eastAsia="en-US"/>
              </w:rPr>
              <w:t>Consent</w:t>
            </w:r>
            <w:r w:rsidR="00F07C04" w:rsidRPr="00B45FC6">
              <w:rPr>
                <w:rFonts w:eastAsia="Calibri" w:cs="Mangal"/>
                <w:b/>
                <w:i/>
                <w:sz w:val="22"/>
                <w:szCs w:val="22"/>
                <w:lang w:eastAsia="en-US"/>
              </w:rPr>
              <w:t xml:space="preserve"> </w:t>
            </w:r>
            <w:r w:rsidR="00F07C04" w:rsidRPr="00B45FC6">
              <w:rPr>
                <w:rFonts w:eastAsia="Calibri" w:cs="Mangal"/>
                <w:b/>
                <w:i/>
                <w:sz w:val="22"/>
                <w:szCs w:val="22"/>
                <w:lang w:val="en-US" w:eastAsia="en-US"/>
              </w:rPr>
              <w:t>Letter</w:t>
            </w:r>
            <w:r w:rsidR="00F07C04" w:rsidRPr="00B45FC6">
              <w:rPr>
                <w:rFonts w:eastAsia="Calibri" w:cs="Mangal"/>
                <w:b/>
                <w:i/>
                <w:sz w:val="22"/>
                <w:szCs w:val="22"/>
                <w:lang w:eastAsia="en-US"/>
              </w:rPr>
              <w:t>) (далее – «Письмо о согласии»), в соответствии с которым, в частности:</w:t>
            </w:r>
          </w:p>
          <w:p w:rsidR="00F07C04" w:rsidRPr="00B45FC6" w:rsidRDefault="0071282D" w:rsidP="0071282D">
            <w:pPr>
              <w:tabs>
                <w:tab w:val="left" w:pos="709"/>
                <w:tab w:val="left" w:pos="1134"/>
              </w:tabs>
              <w:autoSpaceDE/>
              <w:autoSpaceDN/>
              <w:spacing w:after="240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proofErr w:type="gramStart"/>
            <w:r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(1) </w:t>
            </w:r>
            <w:r w:rsidR="00F07C04"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Вносятся изменения в Договор </w:t>
            </w:r>
            <w:proofErr w:type="spellStart"/>
            <w:r w:rsidR="00F07C04"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предэкспортного</w:t>
            </w:r>
            <w:proofErr w:type="spellEnd"/>
            <w:r w:rsidR="00F07C04"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финансирования от 24 мая 2017 г. на общую сумму до 2 000 000 000 (двух миллиардов) долларов США (вместе с изменениями к нему, далее – «Кредитный договор») между, среди прочих лиц, </w:t>
            </w:r>
            <w:r w:rsidR="00F07C04" w:rsidRPr="00B45FC6">
              <w:rPr>
                <w:rFonts w:eastAsia="Calibri"/>
                <w:b/>
                <w:i/>
                <w:sz w:val="22"/>
                <w:szCs w:val="22"/>
                <w:lang w:val="en-US" w:eastAsia="en-US"/>
              </w:rPr>
              <w:t>United</w:t>
            </w:r>
            <w:r w:rsidR="00F07C04"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</w:t>
            </w:r>
            <w:r w:rsidR="00F07C04" w:rsidRPr="00B45FC6">
              <w:rPr>
                <w:rFonts w:eastAsia="Calibri"/>
                <w:b/>
                <w:i/>
                <w:sz w:val="22"/>
                <w:szCs w:val="22"/>
                <w:lang w:val="en-US" w:eastAsia="en-US"/>
              </w:rPr>
              <w:t>Company</w:t>
            </w:r>
            <w:r w:rsidR="00F07C04"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07C04" w:rsidRPr="00B45FC6">
              <w:rPr>
                <w:rFonts w:eastAsia="Calibri"/>
                <w:b/>
                <w:i/>
                <w:sz w:val="22"/>
                <w:szCs w:val="22"/>
                <w:lang w:val="en-US" w:eastAsia="en-US"/>
              </w:rPr>
              <w:t>Rusal</w:t>
            </w:r>
            <w:proofErr w:type="spellEnd"/>
            <w:r w:rsidR="00F07C04"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</w:t>
            </w:r>
            <w:r w:rsidR="00F07C04" w:rsidRPr="00B45FC6">
              <w:rPr>
                <w:rFonts w:eastAsia="Calibri"/>
                <w:b/>
                <w:i/>
                <w:sz w:val="22"/>
                <w:szCs w:val="22"/>
                <w:lang w:val="en-US" w:eastAsia="en-US"/>
              </w:rPr>
              <w:t>Plc</w:t>
            </w:r>
            <w:r w:rsidR="00F07C04"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в качестве заемщика и ING </w:t>
            </w:r>
            <w:proofErr w:type="spellStart"/>
            <w:r w:rsidR="00F07C04"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Bank</w:t>
            </w:r>
            <w:proofErr w:type="spellEnd"/>
            <w:r w:rsidR="00F07C04"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N.V. в качестве Агента по кредиту (в соответствии с определением термина «</w:t>
            </w:r>
            <w:proofErr w:type="spellStart"/>
            <w:r w:rsidR="00F07C04"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Facility</w:t>
            </w:r>
            <w:proofErr w:type="spellEnd"/>
            <w:r w:rsidR="00F07C04"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07C04"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Agent</w:t>
            </w:r>
            <w:proofErr w:type="spellEnd"/>
            <w:proofErr w:type="gramEnd"/>
            <w:r w:rsidR="00F07C04"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» в Кредитном договоре), в частности, в части замены определения термина «Выручка» (в соответствии с термином «</w:t>
            </w:r>
            <w:proofErr w:type="spellStart"/>
            <w:r w:rsidR="00F07C04"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Proceeds</w:t>
            </w:r>
            <w:proofErr w:type="spellEnd"/>
            <w:r w:rsidR="00F07C04"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» в Кредитном договоре), содержащегося в статье 23.1 Кредитного договора (в отношении Кредитного договора ранее было предоставлено согласие на совершение крупной сделки (взаимосвязанных сделок) Решением единственного акционера Общества от 22 мая 2017 г.); </w:t>
            </w:r>
          </w:p>
          <w:p w:rsidR="00F07C04" w:rsidRPr="00B45FC6" w:rsidRDefault="0071282D" w:rsidP="0071282D">
            <w:pPr>
              <w:tabs>
                <w:tab w:val="left" w:pos="709"/>
                <w:tab w:val="left" w:pos="1134"/>
              </w:tabs>
              <w:autoSpaceDE/>
              <w:autoSpaceDN/>
              <w:spacing w:after="240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proofErr w:type="gramStart"/>
            <w:r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(2) </w:t>
            </w:r>
            <w:r w:rsidR="00F07C04"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ING </w:t>
            </w:r>
            <w:proofErr w:type="spellStart"/>
            <w:r w:rsidR="00F07C04"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Bank</w:t>
            </w:r>
            <w:proofErr w:type="spellEnd"/>
            <w:r w:rsidR="00F07C04"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N.V. в качестве Агента по кредиту (в соответствии с определением термина «</w:t>
            </w:r>
            <w:proofErr w:type="spellStart"/>
            <w:r w:rsidR="00F07C04"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Facility</w:t>
            </w:r>
            <w:proofErr w:type="spellEnd"/>
            <w:r w:rsidR="00F07C04"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07C04"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Agent</w:t>
            </w:r>
            <w:proofErr w:type="spellEnd"/>
            <w:r w:rsidR="00F07C04"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» в Кредитном договоре) предоставляет согласие на внесение необходимых изменений каждым соответствующим Обязанным лицом (в соответствии с определением термина «</w:t>
            </w:r>
            <w:proofErr w:type="spellStart"/>
            <w:r w:rsidR="00F07C04"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Obligor</w:t>
            </w:r>
            <w:proofErr w:type="spellEnd"/>
            <w:r w:rsidR="00F07C04"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» в Кредитном договоре) в Торговые документы (в соответствии с определением термина «</w:t>
            </w:r>
            <w:proofErr w:type="spellStart"/>
            <w:r w:rsidR="00F07C04"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Trade</w:t>
            </w:r>
            <w:proofErr w:type="spellEnd"/>
            <w:r w:rsidR="00F07C04"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07C04"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Documents</w:t>
            </w:r>
            <w:proofErr w:type="spellEnd"/>
            <w:r w:rsidR="00F07C04"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» в Кредитном договоре), заключенные до 6 апреля 2018 г., с тем</w:t>
            </w:r>
            <w:proofErr w:type="gramEnd"/>
            <w:r w:rsidR="00F07C04"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, чтобы обеспечить возможность осуществлять или получать платежи по ним в евро (далее – «Согласие»);</w:t>
            </w:r>
          </w:p>
          <w:p w:rsidR="00F07C04" w:rsidRPr="00B45FC6" w:rsidRDefault="0071282D" w:rsidP="0071282D">
            <w:pPr>
              <w:tabs>
                <w:tab w:val="left" w:pos="709"/>
                <w:tab w:val="left" w:pos="1134"/>
              </w:tabs>
              <w:autoSpaceDE/>
              <w:autoSpaceDN/>
              <w:spacing w:after="240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(3) </w:t>
            </w:r>
            <w:r w:rsidR="00F07C04"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Нарушение условий получения Согласия, изложенных в пункте 4(</w:t>
            </w:r>
            <w:r w:rsidR="00F07C04" w:rsidRPr="00B45FC6">
              <w:rPr>
                <w:rFonts w:eastAsia="Calibri"/>
                <w:b/>
                <w:i/>
                <w:sz w:val="22"/>
                <w:szCs w:val="22"/>
                <w:lang w:val="en-US" w:eastAsia="en-US"/>
              </w:rPr>
              <w:t>b</w:t>
            </w:r>
            <w:r w:rsidR="00F07C04"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) Письма о согласии, является Событием неисполнения (в соответствии с определением термина «</w:t>
            </w:r>
            <w:r w:rsidR="00F07C04" w:rsidRPr="00B45FC6">
              <w:rPr>
                <w:rFonts w:eastAsia="Calibri"/>
                <w:b/>
                <w:i/>
                <w:sz w:val="22"/>
                <w:szCs w:val="22"/>
                <w:lang w:val="en-US" w:eastAsia="en-US"/>
              </w:rPr>
              <w:t>Event</w:t>
            </w:r>
            <w:r w:rsidR="00F07C04"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</w:t>
            </w:r>
            <w:r w:rsidR="00F07C04" w:rsidRPr="00B45FC6">
              <w:rPr>
                <w:rFonts w:eastAsia="Calibri"/>
                <w:b/>
                <w:i/>
                <w:sz w:val="22"/>
                <w:szCs w:val="22"/>
                <w:lang w:val="en-US" w:eastAsia="en-US"/>
              </w:rPr>
              <w:t>of</w:t>
            </w:r>
            <w:r w:rsidR="00F07C04"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</w:t>
            </w:r>
            <w:r w:rsidR="00F07C04" w:rsidRPr="00B45FC6">
              <w:rPr>
                <w:rFonts w:eastAsia="Calibri"/>
                <w:b/>
                <w:i/>
                <w:sz w:val="22"/>
                <w:szCs w:val="22"/>
                <w:lang w:val="en-US" w:eastAsia="en-US"/>
              </w:rPr>
              <w:t>Default</w:t>
            </w:r>
            <w:r w:rsidR="00F07C04"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» в Кредитном договоре);</w:t>
            </w:r>
          </w:p>
          <w:p w:rsidR="00F07C04" w:rsidRPr="00B45FC6" w:rsidRDefault="0071282D" w:rsidP="0071282D">
            <w:pPr>
              <w:autoSpaceDE/>
              <w:autoSpaceDN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proofErr w:type="gramStart"/>
            <w:r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(4) </w:t>
            </w:r>
            <w:r w:rsidR="00F07C04"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Каждый Гарант (в соответствии с определением термина «</w:t>
            </w:r>
            <w:r w:rsidR="00F07C04" w:rsidRPr="00B45FC6">
              <w:rPr>
                <w:rFonts w:eastAsia="Calibri"/>
                <w:b/>
                <w:i/>
                <w:sz w:val="22"/>
                <w:szCs w:val="22"/>
                <w:lang w:val="en-GB" w:eastAsia="en-US"/>
              </w:rPr>
              <w:t>Guarantor</w:t>
            </w:r>
            <w:r w:rsidR="00F07C04"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» в Кредитном договоре), в том числе Общество, подтверждает, что соответствующие обязательства, </w:t>
            </w:r>
            <w:r w:rsidR="00F07C04"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lastRenderedPageBreak/>
              <w:t>предусмотренные договором гарантии от 24 мая 2017 года, сохраняют полную силу и действие, несмотря на положения Письма о согласии, а также распространяются на любые новые обязательства любого Обязанного лица по любым Финансовым документам (в соответствии с определением термина «</w:t>
            </w:r>
            <w:r w:rsidR="00F07C04" w:rsidRPr="00B45FC6">
              <w:rPr>
                <w:rFonts w:eastAsia="Calibri"/>
                <w:b/>
                <w:i/>
                <w:sz w:val="22"/>
                <w:szCs w:val="22"/>
                <w:lang w:val="en-GB" w:eastAsia="en-US"/>
              </w:rPr>
              <w:t>Finance</w:t>
            </w:r>
            <w:r w:rsidR="00F07C04"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</w:t>
            </w:r>
            <w:r w:rsidR="00F07C04" w:rsidRPr="00B45FC6">
              <w:rPr>
                <w:rFonts w:eastAsia="Calibri"/>
                <w:b/>
                <w:i/>
                <w:sz w:val="22"/>
                <w:szCs w:val="22"/>
                <w:lang w:val="en-GB" w:eastAsia="en-US"/>
              </w:rPr>
              <w:t>Documents</w:t>
            </w:r>
            <w:proofErr w:type="gramEnd"/>
            <w:r w:rsidR="00F07C04"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» в Кредитном договоре), принятые в результате подписания Письма о согласии; и</w:t>
            </w:r>
          </w:p>
          <w:p w:rsidR="00F07C04" w:rsidRPr="00B45FC6" w:rsidRDefault="00F07C04" w:rsidP="00F07C04">
            <w:pPr>
              <w:autoSpaceDE/>
              <w:autoSpaceDN/>
              <w:ind w:left="1854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  <w:p w:rsidR="00F07C04" w:rsidRPr="00B45FC6" w:rsidRDefault="0071282D" w:rsidP="0071282D">
            <w:pPr>
              <w:tabs>
                <w:tab w:val="left" w:pos="709"/>
                <w:tab w:val="left" w:pos="1134"/>
              </w:tabs>
              <w:autoSpaceDE/>
              <w:autoSpaceDN/>
              <w:spacing w:after="240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proofErr w:type="gramStart"/>
            <w:r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(5) </w:t>
            </w:r>
            <w:r w:rsidR="00F07C04"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Каждое Обязанное лицо, в том числе Общество, подтверждает, что Обеспечение (в соответствии с определением термина «</w:t>
            </w:r>
            <w:r w:rsidR="00F07C04" w:rsidRPr="00B45FC6">
              <w:rPr>
                <w:rFonts w:eastAsia="Calibri"/>
                <w:b/>
                <w:i/>
                <w:sz w:val="22"/>
                <w:szCs w:val="22"/>
                <w:lang w:val="en-GB" w:eastAsia="en-US"/>
              </w:rPr>
              <w:t>Security</w:t>
            </w:r>
            <w:r w:rsidR="00F07C04"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» в Кредитном договоре), созданное в соответствии с каким-либо Документом по обеспечению (в соответствии с определением термина «</w:t>
            </w:r>
            <w:r w:rsidR="00F07C04" w:rsidRPr="00B45FC6">
              <w:rPr>
                <w:rFonts w:eastAsia="Calibri"/>
                <w:b/>
                <w:i/>
                <w:sz w:val="22"/>
                <w:szCs w:val="22"/>
                <w:lang w:val="en-GB" w:eastAsia="en-US"/>
              </w:rPr>
              <w:t>Security</w:t>
            </w:r>
            <w:r w:rsidR="00F07C04"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</w:t>
            </w:r>
            <w:r w:rsidR="00F07C04" w:rsidRPr="00B45FC6">
              <w:rPr>
                <w:rFonts w:eastAsia="Calibri"/>
                <w:b/>
                <w:i/>
                <w:sz w:val="22"/>
                <w:szCs w:val="22"/>
                <w:lang w:val="en-GB" w:eastAsia="en-US"/>
              </w:rPr>
              <w:t>Document</w:t>
            </w:r>
            <w:r w:rsidR="00F07C04"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» в Кредитном договоре) стороной по которому является соответствующее Обязанное лицо, сохраняет полную силу и действие, несмотря на положения Письма о согласии, а также продолжает обеспечивать</w:t>
            </w:r>
            <w:proofErr w:type="gramEnd"/>
            <w:r w:rsidR="00F07C04"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его Обеспеченные обязательства (в соответствии с определением термина «</w:t>
            </w:r>
            <w:r w:rsidR="00F07C04" w:rsidRPr="00B45FC6">
              <w:rPr>
                <w:rFonts w:eastAsia="Calibri"/>
                <w:b/>
                <w:i/>
                <w:sz w:val="22"/>
                <w:szCs w:val="22"/>
                <w:lang w:val="en-GB" w:eastAsia="en-US"/>
              </w:rPr>
              <w:t>Secured</w:t>
            </w:r>
            <w:r w:rsidR="00F07C04"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</w:t>
            </w:r>
            <w:r w:rsidR="00F07C04" w:rsidRPr="00B45FC6">
              <w:rPr>
                <w:rFonts w:eastAsia="Calibri"/>
                <w:b/>
                <w:i/>
                <w:sz w:val="22"/>
                <w:szCs w:val="22"/>
                <w:lang w:val="en-GB" w:eastAsia="en-US"/>
              </w:rPr>
              <w:t>Obligations</w:t>
            </w:r>
            <w:r w:rsidR="00F07C04"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» в Кредитном договоре) по Финансовым документам с учетом внесенных изменений.</w:t>
            </w:r>
          </w:p>
          <w:p w:rsidR="00F07C04" w:rsidRPr="00B45FC6" w:rsidRDefault="0071282D" w:rsidP="0071282D">
            <w:pPr>
              <w:tabs>
                <w:tab w:val="left" w:pos="709"/>
                <w:tab w:val="left" w:pos="1134"/>
              </w:tabs>
              <w:autoSpaceDE/>
              <w:autoSpaceDN/>
              <w:spacing w:after="240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2.</w:t>
            </w:r>
            <w:r w:rsidR="00F07C04"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Иные договоры, соглашения и документы, которые предусмотрены Письмом о согласии и/или которые могут быть заключены в связи с заключением и подписанием Письма о согласии.</w:t>
            </w:r>
          </w:p>
          <w:p w:rsidR="00E42792" w:rsidRPr="00B45FC6" w:rsidRDefault="00E42792" w:rsidP="00E42792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:rsidR="00245035" w:rsidRPr="00B45FC6" w:rsidRDefault="00AE59C6" w:rsidP="00AE59C6">
            <w:pPr>
              <w:pStyle w:val="a9"/>
              <w:rPr>
                <w:sz w:val="22"/>
                <w:szCs w:val="22"/>
              </w:rPr>
            </w:pPr>
            <w:r w:rsidRPr="00B45FC6">
              <w:rPr>
                <w:sz w:val="22"/>
                <w:szCs w:val="22"/>
              </w:rPr>
              <w:t xml:space="preserve">2.5. </w:t>
            </w:r>
            <w:r w:rsidR="003855FE" w:rsidRPr="00B45FC6">
              <w:rPr>
                <w:sz w:val="22"/>
                <w:szCs w:val="22"/>
              </w:rPr>
              <w:t>Срок исполнения обязательств по сделке</w:t>
            </w:r>
            <w:r w:rsidR="00E57739" w:rsidRPr="00B45FC6">
              <w:rPr>
                <w:sz w:val="22"/>
                <w:szCs w:val="22"/>
              </w:rPr>
              <w:t>:</w:t>
            </w:r>
            <w:r w:rsidR="00FB7A43" w:rsidRPr="00B45FC6">
              <w:rPr>
                <w:sz w:val="22"/>
                <w:szCs w:val="22"/>
              </w:rPr>
              <w:t xml:space="preserve"> </w:t>
            </w:r>
            <w:r w:rsidR="003E2A1D" w:rsidRPr="00B45FC6">
              <w:rPr>
                <w:b/>
                <w:i/>
                <w:sz w:val="22"/>
                <w:szCs w:val="22"/>
              </w:rPr>
              <w:t xml:space="preserve">окончательный </w:t>
            </w:r>
            <w:r w:rsidR="004F5E30" w:rsidRPr="00B45FC6">
              <w:rPr>
                <w:b/>
                <w:i/>
                <w:sz w:val="22"/>
                <w:szCs w:val="22"/>
              </w:rPr>
              <w:t>срок погашения Транша «А» наступает спустя 60 месяцев с момента первой выборки кредита по Траншу «А», окончательный срок погашения Транша «Б» наступает спустя 84 месяца с момента первой выборки кредита по Траншу «Б».</w:t>
            </w:r>
            <w:r w:rsidR="004F5E30" w:rsidRPr="00B45FC6">
              <w:rPr>
                <w:sz w:val="22"/>
                <w:szCs w:val="22"/>
              </w:rPr>
              <w:t xml:space="preserve"> </w:t>
            </w:r>
          </w:p>
          <w:p w:rsidR="00A76237" w:rsidRPr="00B45FC6" w:rsidRDefault="00A76237" w:rsidP="00AE59C6">
            <w:pPr>
              <w:pStyle w:val="a9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Сторонами и/или выгодоприобретателями по Письму о согласии являются: </w:t>
            </w:r>
            <w:proofErr w:type="gramStart"/>
            <w:r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ING </w:t>
            </w:r>
            <w:proofErr w:type="spellStart"/>
            <w:r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Bank</w:t>
            </w:r>
            <w:proofErr w:type="spellEnd"/>
            <w:r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N.V. (а также иные Финансовые стороны (в соответствии с определением термина «</w:t>
            </w:r>
            <w:r w:rsidRPr="00B45FC6">
              <w:rPr>
                <w:rFonts w:eastAsia="Calibri"/>
                <w:b/>
                <w:i/>
                <w:sz w:val="22"/>
                <w:szCs w:val="22"/>
                <w:lang w:val="en-GB" w:eastAsia="en-US"/>
              </w:rPr>
              <w:t>Finance</w:t>
            </w:r>
            <w:r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</w:t>
            </w:r>
            <w:r w:rsidRPr="00B45FC6">
              <w:rPr>
                <w:rFonts w:eastAsia="Calibri"/>
                <w:b/>
                <w:i/>
                <w:sz w:val="22"/>
                <w:szCs w:val="22"/>
                <w:lang w:val="en-GB" w:eastAsia="en-US"/>
              </w:rPr>
              <w:t>Parties</w:t>
            </w:r>
            <w:r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» в Кредитном договоре) в качестве выгодоприобретателей по Письму о согласии), </w:t>
            </w:r>
            <w:proofErr w:type="spellStart"/>
            <w:r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United</w:t>
            </w:r>
            <w:proofErr w:type="spellEnd"/>
            <w:r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Company</w:t>
            </w:r>
            <w:proofErr w:type="spellEnd"/>
            <w:r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Rusal</w:t>
            </w:r>
            <w:proofErr w:type="spellEnd"/>
            <w:r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Plc</w:t>
            </w:r>
            <w:proofErr w:type="spellEnd"/>
            <w:r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, RTI </w:t>
            </w:r>
            <w:proofErr w:type="spellStart"/>
            <w:r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Limited</w:t>
            </w:r>
            <w:proofErr w:type="spellEnd"/>
            <w:r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, RS </w:t>
            </w:r>
            <w:proofErr w:type="spellStart"/>
            <w:r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International</w:t>
            </w:r>
            <w:proofErr w:type="spellEnd"/>
            <w:r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GmbH</w:t>
            </w:r>
            <w:proofErr w:type="spellEnd"/>
            <w:r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Rusal</w:t>
            </w:r>
            <w:proofErr w:type="spellEnd"/>
            <w:r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Marketing</w:t>
            </w:r>
            <w:proofErr w:type="spellEnd"/>
            <w:r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GmbH</w:t>
            </w:r>
            <w:proofErr w:type="spellEnd"/>
            <w:r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, Общество, АО «РУСАЛ», Акционерное общество «РУСАЛ Саяногорский Алюминиевый Завод», Акционерное общество «РУСАЛ Новокузнецкий Алюминиевый Завод», Публичное акционерное общество «РУСАЛ Братский алюминиевый завод</w:t>
            </w:r>
            <w:proofErr w:type="gramEnd"/>
            <w:r w:rsidRPr="00B45FC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», Акционерное общество «Объединенная компания РУСАЛ Уральский Алюминий» и Акционерное общество «Объединенная Компания РУСАЛ – Торговый Дом».</w:t>
            </w:r>
          </w:p>
          <w:p w:rsidR="00AE59C6" w:rsidRPr="00B45FC6" w:rsidRDefault="00AE59C6" w:rsidP="00810E49">
            <w:pPr>
              <w:pStyle w:val="a9"/>
              <w:rPr>
                <w:sz w:val="22"/>
                <w:szCs w:val="22"/>
                <w:shd w:val="clear" w:color="auto" w:fill="FFFFFF"/>
              </w:rPr>
            </w:pPr>
            <w:bookmarkStart w:id="0" w:name="_GoBack"/>
            <w:bookmarkEnd w:id="0"/>
          </w:p>
          <w:p w:rsidR="00F87492" w:rsidRPr="00B45FC6" w:rsidRDefault="00F87492" w:rsidP="00810E49">
            <w:pPr>
              <w:pStyle w:val="a9"/>
              <w:rPr>
                <w:sz w:val="22"/>
                <w:szCs w:val="22"/>
              </w:rPr>
            </w:pPr>
            <w:r w:rsidRPr="00B45FC6">
              <w:rPr>
                <w:sz w:val="22"/>
                <w:szCs w:val="22"/>
                <w:shd w:val="clear" w:color="auto" w:fill="FFFFFF"/>
              </w:rPr>
              <w:t xml:space="preserve">Размер сделки в денежном выражении и в процентах от стоимости активов </w:t>
            </w:r>
            <w:r w:rsidR="00810E49" w:rsidRPr="00B45FC6">
              <w:rPr>
                <w:sz w:val="22"/>
                <w:szCs w:val="22"/>
                <w:shd w:val="clear" w:color="auto" w:fill="FFFFFF"/>
              </w:rPr>
              <w:t>лица, предоставившего обеспечение по облигациям эмитента</w:t>
            </w:r>
            <w:r w:rsidR="00810E49" w:rsidRPr="00B45FC6">
              <w:rPr>
                <w:sz w:val="22"/>
                <w:szCs w:val="22"/>
              </w:rPr>
              <w:t xml:space="preserve">: </w:t>
            </w:r>
            <w:r w:rsidR="00EF699E" w:rsidRPr="00B45FC6">
              <w:rPr>
                <w:b/>
                <w:bCs/>
                <w:i/>
                <w:iCs/>
                <w:sz w:val="22"/>
                <w:szCs w:val="22"/>
              </w:rPr>
              <w:t xml:space="preserve">до 2 000 000 000 (двух миллиардов) </w:t>
            </w:r>
            <w:r w:rsidR="00EF699E" w:rsidRPr="00B45FC6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долларов США или </w:t>
            </w:r>
            <w:r w:rsidR="005F46DE" w:rsidRPr="00B45FC6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199,03</w:t>
            </w:r>
            <w:r w:rsidRPr="00B45FC6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% от стоимости активов </w:t>
            </w:r>
            <w:r w:rsidR="00810E49" w:rsidRPr="00B45FC6">
              <w:rPr>
                <w:b/>
                <w:i/>
                <w:sz w:val="22"/>
                <w:szCs w:val="22"/>
                <w:shd w:val="clear" w:color="auto" w:fill="FFFFFF"/>
              </w:rPr>
              <w:t>лица, предоставившего обеспечение по облигациям эмитента.</w:t>
            </w:r>
          </w:p>
          <w:p w:rsidR="00F847B6" w:rsidRPr="00B45FC6" w:rsidRDefault="00F847B6" w:rsidP="00A6191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55FE" w:rsidRPr="00B45FC6" w:rsidRDefault="003855FE" w:rsidP="00810E49">
            <w:pPr>
              <w:pStyle w:val="ConsPlusNormal"/>
              <w:jc w:val="both"/>
              <w:rPr>
                <w:sz w:val="22"/>
                <w:szCs w:val="22"/>
              </w:rPr>
            </w:pPr>
            <w:r w:rsidRPr="00B45FC6">
              <w:rPr>
                <w:rFonts w:ascii="Times New Roman" w:hAnsi="Times New Roman" w:cs="Times New Roman"/>
                <w:sz w:val="22"/>
                <w:szCs w:val="22"/>
              </w:rPr>
              <w:t xml:space="preserve">2.6. Стоимость активов </w:t>
            </w:r>
            <w:r w:rsidR="005F4927" w:rsidRPr="00B45FC6">
              <w:rPr>
                <w:rFonts w:ascii="Times New Roman" w:hAnsi="Times New Roman" w:cs="Times New Roman"/>
                <w:sz w:val="22"/>
                <w:szCs w:val="22"/>
              </w:rPr>
              <w:t>лица, предоставившего обеспечение по облигациям эмитента,</w:t>
            </w:r>
            <w:r w:rsidRPr="00B45FC6">
              <w:rPr>
                <w:rFonts w:ascii="Times New Roman" w:hAnsi="Times New Roman" w:cs="Times New Roman"/>
                <w:sz w:val="22"/>
                <w:szCs w:val="22"/>
              </w:rPr>
              <w:t xml:space="preserve"> на дату окончания отчетного периода (квартала, года), предшествующего совершению сделки (заключению договора), в отношении которого истек установленный срок представления бухгал</w:t>
            </w:r>
            <w:r w:rsidR="00E23654" w:rsidRPr="00B45FC6">
              <w:rPr>
                <w:rFonts w:ascii="Times New Roman" w:hAnsi="Times New Roman" w:cs="Times New Roman"/>
                <w:sz w:val="22"/>
                <w:szCs w:val="22"/>
              </w:rPr>
              <w:t xml:space="preserve">терской (финансовой) отчетности: </w:t>
            </w:r>
            <w:r w:rsidR="00EF699E" w:rsidRPr="00B45FC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на 3</w:t>
            </w:r>
            <w:r w:rsidR="00F07C04" w:rsidRPr="00B45FC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0</w:t>
            </w:r>
            <w:r w:rsidR="00EF699E" w:rsidRPr="00B45FC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.0</w:t>
            </w:r>
            <w:r w:rsidR="00F07C04" w:rsidRPr="00B45FC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6</w:t>
            </w:r>
            <w:r w:rsidR="00EF699E" w:rsidRPr="00B45FC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.201</w:t>
            </w:r>
            <w:r w:rsidR="00F07C04" w:rsidRPr="00B45FC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8</w:t>
            </w:r>
            <w:r w:rsidR="00EF699E" w:rsidRPr="00B45FC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г. –</w:t>
            </w:r>
            <w:r w:rsidR="00E23654" w:rsidRPr="00B45FC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="00783B11" w:rsidRPr="00B45FC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63</w:t>
            </w:r>
            <w:r w:rsidR="005D21BF" w:rsidRPr="00B45FC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 442 905 994</w:t>
            </w:r>
            <w:r w:rsidR="00810E49" w:rsidRPr="00B45FC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="00E23654" w:rsidRPr="00B45FC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руб.</w:t>
            </w:r>
          </w:p>
          <w:p w:rsidR="003855FE" w:rsidRPr="00B45FC6" w:rsidRDefault="003855FE" w:rsidP="00A6191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45FC6">
              <w:rPr>
                <w:rFonts w:ascii="Times New Roman" w:hAnsi="Times New Roman" w:cs="Times New Roman"/>
                <w:sz w:val="22"/>
                <w:szCs w:val="22"/>
              </w:rPr>
              <w:t>2.7. Дата совершения сделки (заключения договора):</w:t>
            </w:r>
            <w:r w:rsidR="00EF699E" w:rsidRPr="00B45F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45FC6" w:rsidRPr="00B45FC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03.</w:t>
            </w:r>
            <w:r w:rsidR="005F46DE" w:rsidRPr="00B45FC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08</w:t>
            </w:r>
            <w:r w:rsidR="00CD2EEF" w:rsidRPr="00B45FC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.201</w:t>
            </w:r>
            <w:r w:rsidR="00F07C04" w:rsidRPr="00B45FC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8</w:t>
            </w:r>
            <w:r w:rsidR="00CD2EEF" w:rsidRPr="00B45FC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г.</w:t>
            </w:r>
          </w:p>
          <w:p w:rsidR="003855FE" w:rsidRPr="00B45FC6" w:rsidRDefault="003855FE" w:rsidP="00A6191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45FC6">
              <w:rPr>
                <w:rFonts w:ascii="Times New Roman" w:hAnsi="Times New Roman" w:cs="Times New Roman"/>
                <w:sz w:val="22"/>
                <w:szCs w:val="22"/>
              </w:rPr>
              <w:t xml:space="preserve">2.8. Сведения об одобрении сделки в случае, когда такая сделка была одобрена уполномоченным органом управления </w:t>
            </w:r>
            <w:r w:rsidR="005F4927" w:rsidRPr="00B45FC6">
              <w:rPr>
                <w:rFonts w:ascii="Times New Roman" w:hAnsi="Times New Roman" w:cs="Times New Roman"/>
                <w:sz w:val="22"/>
                <w:szCs w:val="22"/>
              </w:rPr>
              <w:t>лица, предоставившего обеспечение по облигациям эмитента</w:t>
            </w:r>
            <w:r w:rsidRPr="00B45FC6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086631" w:rsidRPr="00B45FC6">
              <w:rPr>
                <w:rFonts w:ascii="Times New Roman" w:hAnsi="Times New Roman" w:cs="Times New Roman"/>
                <w:b/>
                <w:i/>
                <w:sz w:val="22"/>
                <w:szCs w:val="22"/>
                <w:shd w:val="clear" w:color="auto" w:fill="FFFFFF"/>
              </w:rPr>
              <w:t>решени</w:t>
            </w:r>
            <w:r w:rsidR="008A31B4" w:rsidRPr="00B45FC6">
              <w:rPr>
                <w:rFonts w:ascii="Times New Roman" w:hAnsi="Times New Roman" w:cs="Times New Roman"/>
                <w:b/>
                <w:i/>
                <w:sz w:val="22"/>
                <w:szCs w:val="22"/>
                <w:shd w:val="clear" w:color="auto" w:fill="FFFFFF"/>
              </w:rPr>
              <w:t xml:space="preserve">я </w:t>
            </w:r>
            <w:r w:rsidR="00086631" w:rsidRPr="00B45FC6">
              <w:rPr>
                <w:rFonts w:ascii="Times New Roman" w:hAnsi="Times New Roman" w:cs="Times New Roman"/>
                <w:b/>
                <w:i/>
                <w:sz w:val="22"/>
                <w:szCs w:val="22"/>
                <w:shd w:val="clear" w:color="auto" w:fill="FFFFFF"/>
              </w:rPr>
              <w:t xml:space="preserve">единственного акционера Акционерного общества «РУСАЛ Красноярский Алюминиевый </w:t>
            </w:r>
            <w:proofErr w:type="gramStart"/>
            <w:r w:rsidR="00086631" w:rsidRPr="00B45FC6">
              <w:rPr>
                <w:rFonts w:ascii="Times New Roman" w:hAnsi="Times New Roman" w:cs="Times New Roman"/>
                <w:b/>
                <w:i/>
                <w:sz w:val="22"/>
                <w:szCs w:val="22"/>
                <w:shd w:val="clear" w:color="auto" w:fill="FFFFFF"/>
              </w:rPr>
              <w:t>Завод» б</w:t>
            </w:r>
            <w:proofErr w:type="gramEnd"/>
            <w:r w:rsidR="00086631" w:rsidRPr="00B45FC6">
              <w:rPr>
                <w:rFonts w:ascii="Times New Roman" w:hAnsi="Times New Roman" w:cs="Times New Roman"/>
                <w:b/>
                <w:i/>
                <w:sz w:val="22"/>
                <w:szCs w:val="22"/>
                <w:shd w:val="clear" w:color="auto" w:fill="FFFFFF"/>
              </w:rPr>
              <w:t>/н от</w:t>
            </w:r>
            <w:r w:rsidR="00086631" w:rsidRPr="00B45FC6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="00EF699E" w:rsidRPr="00B45FC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</w:t>
            </w:r>
            <w:r w:rsidR="00771A60" w:rsidRPr="00B45FC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8</w:t>
            </w:r>
            <w:r w:rsidR="00EF699E" w:rsidRPr="00B45FC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.05</w:t>
            </w:r>
            <w:r w:rsidR="00551185" w:rsidRPr="00B45FC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.2017</w:t>
            </w:r>
            <w:r w:rsidR="001913F7" w:rsidRPr="00B45FC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г.</w:t>
            </w:r>
            <w:r w:rsidR="008A31B4" w:rsidRPr="00B45FC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, </w:t>
            </w:r>
            <w:r w:rsidR="005F46DE" w:rsidRPr="00B45FC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б/н от </w:t>
            </w:r>
            <w:r w:rsidR="00B45FC6" w:rsidRPr="00B45FC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03</w:t>
            </w:r>
            <w:r w:rsidR="005F46DE" w:rsidRPr="00B45FC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.08.</w:t>
            </w:r>
            <w:r w:rsidR="008A31B4" w:rsidRPr="00B45FC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2018 г.</w:t>
            </w:r>
          </w:p>
          <w:p w:rsidR="003855FE" w:rsidRPr="00B45FC6" w:rsidRDefault="003855FE" w:rsidP="00A61916">
            <w:pPr>
              <w:ind w:left="142"/>
              <w:rPr>
                <w:sz w:val="22"/>
                <w:szCs w:val="22"/>
              </w:rPr>
            </w:pPr>
          </w:p>
        </w:tc>
      </w:tr>
    </w:tbl>
    <w:p w:rsidR="003855FE" w:rsidRPr="00B45FC6" w:rsidRDefault="003855FE" w:rsidP="003855FE">
      <w:pPr>
        <w:rPr>
          <w:sz w:val="22"/>
          <w:szCs w:val="22"/>
        </w:rPr>
      </w:pPr>
    </w:p>
    <w:tbl>
      <w:tblPr>
        <w:tblW w:w="0" w:type="auto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B45FC6" w:rsidRPr="00B45FC6" w:rsidTr="00A61916">
        <w:trPr>
          <w:cantSplit/>
        </w:trPr>
        <w:tc>
          <w:tcPr>
            <w:tcW w:w="9951" w:type="dxa"/>
          </w:tcPr>
          <w:p w:rsidR="003855FE" w:rsidRPr="00B45FC6" w:rsidRDefault="003855FE" w:rsidP="00A61916">
            <w:pPr>
              <w:jc w:val="center"/>
              <w:rPr>
                <w:sz w:val="22"/>
                <w:szCs w:val="22"/>
              </w:rPr>
            </w:pPr>
            <w:r w:rsidRPr="00B45FC6">
              <w:rPr>
                <w:sz w:val="22"/>
                <w:szCs w:val="22"/>
              </w:rPr>
              <w:t>3. Подпись</w:t>
            </w:r>
          </w:p>
        </w:tc>
      </w:tr>
      <w:tr w:rsidR="00B45FC6" w:rsidRPr="00B45FC6" w:rsidTr="00A61916">
        <w:trPr>
          <w:cantSplit/>
        </w:trPr>
        <w:tc>
          <w:tcPr>
            <w:tcW w:w="9951" w:type="dxa"/>
          </w:tcPr>
          <w:p w:rsidR="003855FE" w:rsidRPr="00B45FC6" w:rsidRDefault="003855FE" w:rsidP="00A61916">
            <w:pPr>
              <w:rPr>
                <w:sz w:val="22"/>
                <w:szCs w:val="22"/>
              </w:rPr>
            </w:pPr>
          </w:p>
          <w:p w:rsidR="00E23654" w:rsidRPr="00B45FC6" w:rsidRDefault="003855FE" w:rsidP="00E23654">
            <w:pPr>
              <w:widowControl w:val="0"/>
              <w:rPr>
                <w:sz w:val="22"/>
                <w:szCs w:val="22"/>
              </w:rPr>
            </w:pPr>
            <w:r w:rsidRPr="00B45FC6">
              <w:rPr>
                <w:sz w:val="22"/>
                <w:szCs w:val="22"/>
              </w:rPr>
              <w:t xml:space="preserve">3.1. </w:t>
            </w:r>
            <w:r w:rsidR="00E23654" w:rsidRPr="00B45FC6">
              <w:rPr>
                <w:sz w:val="22"/>
                <w:szCs w:val="22"/>
              </w:rPr>
              <w:t xml:space="preserve">Управляющий директор </w:t>
            </w:r>
          </w:p>
          <w:p w:rsidR="003855FE" w:rsidRPr="00B45FC6" w:rsidRDefault="00EF699E" w:rsidP="00E23654">
            <w:pPr>
              <w:rPr>
                <w:sz w:val="22"/>
                <w:szCs w:val="22"/>
              </w:rPr>
            </w:pPr>
            <w:r w:rsidRPr="00B45FC6">
              <w:rPr>
                <w:sz w:val="22"/>
                <w:szCs w:val="22"/>
              </w:rPr>
              <w:t>П</w:t>
            </w:r>
            <w:r w:rsidR="00E23654" w:rsidRPr="00B45FC6">
              <w:rPr>
                <w:sz w:val="22"/>
                <w:szCs w:val="22"/>
              </w:rPr>
              <w:t>АО «РУСАЛ Братск»</w:t>
            </w:r>
            <w:r w:rsidR="003855FE" w:rsidRPr="00B45FC6">
              <w:rPr>
                <w:sz w:val="22"/>
                <w:szCs w:val="22"/>
              </w:rPr>
              <w:t xml:space="preserve">              </w:t>
            </w:r>
            <w:r w:rsidRPr="00B45FC6">
              <w:rPr>
                <w:sz w:val="22"/>
                <w:szCs w:val="22"/>
              </w:rPr>
              <w:t xml:space="preserve">                </w:t>
            </w:r>
            <w:r w:rsidR="003855FE" w:rsidRPr="00B45FC6">
              <w:rPr>
                <w:sz w:val="22"/>
                <w:szCs w:val="22"/>
              </w:rPr>
              <w:t xml:space="preserve">_____________________                </w:t>
            </w:r>
            <w:r w:rsidR="00E23654" w:rsidRPr="00B45FC6">
              <w:rPr>
                <w:sz w:val="22"/>
              </w:rPr>
              <w:t>Е.Ю. Зенкин</w:t>
            </w:r>
          </w:p>
          <w:p w:rsidR="003855FE" w:rsidRPr="00B45FC6" w:rsidRDefault="00EF699E" w:rsidP="00A61916">
            <w:r w:rsidRPr="00B45FC6">
              <w:t xml:space="preserve">                                                                                           (подпись)</w:t>
            </w:r>
          </w:p>
          <w:p w:rsidR="003855FE" w:rsidRPr="00B45FC6" w:rsidRDefault="003855FE" w:rsidP="00A61916">
            <w:pPr>
              <w:rPr>
                <w:sz w:val="22"/>
                <w:szCs w:val="22"/>
              </w:rPr>
            </w:pPr>
            <w:r w:rsidRPr="00B45FC6">
              <w:rPr>
                <w:sz w:val="22"/>
                <w:szCs w:val="22"/>
              </w:rPr>
              <w:t>3.2. Дата «</w:t>
            </w:r>
            <w:r w:rsidR="00B45FC6" w:rsidRPr="00B45FC6">
              <w:rPr>
                <w:sz w:val="22"/>
                <w:szCs w:val="22"/>
              </w:rPr>
              <w:t>03</w:t>
            </w:r>
            <w:r w:rsidRPr="00B45FC6">
              <w:rPr>
                <w:sz w:val="22"/>
                <w:szCs w:val="22"/>
              </w:rPr>
              <w:t>»</w:t>
            </w:r>
            <w:r w:rsidR="00F07C04" w:rsidRPr="00B45FC6">
              <w:rPr>
                <w:sz w:val="22"/>
                <w:szCs w:val="22"/>
              </w:rPr>
              <w:t xml:space="preserve"> </w:t>
            </w:r>
            <w:r w:rsidR="005F46DE" w:rsidRPr="00B45FC6">
              <w:rPr>
                <w:sz w:val="22"/>
                <w:szCs w:val="22"/>
              </w:rPr>
              <w:t>августа</w:t>
            </w:r>
            <w:r w:rsidRPr="00B45FC6">
              <w:rPr>
                <w:sz w:val="22"/>
                <w:szCs w:val="22"/>
              </w:rPr>
              <w:t xml:space="preserve"> 20</w:t>
            </w:r>
            <w:r w:rsidR="00E23654" w:rsidRPr="00B45FC6">
              <w:rPr>
                <w:sz w:val="22"/>
                <w:szCs w:val="22"/>
              </w:rPr>
              <w:t>1</w:t>
            </w:r>
            <w:r w:rsidR="00F07C04" w:rsidRPr="00B45FC6">
              <w:rPr>
                <w:sz w:val="22"/>
                <w:szCs w:val="22"/>
              </w:rPr>
              <w:t>8</w:t>
            </w:r>
            <w:r w:rsidRPr="00B45FC6">
              <w:rPr>
                <w:sz w:val="22"/>
                <w:szCs w:val="22"/>
              </w:rPr>
              <w:t xml:space="preserve"> г.</w:t>
            </w:r>
          </w:p>
          <w:p w:rsidR="003855FE" w:rsidRPr="00B45FC6" w:rsidRDefault="003855FE" w:rsidP="00E23654">
            <w:pPr>
              <w:rPr>
                <w:sz w:val="22"/>
                <w:szCs w:val="22"/>
              </w:rPr>
            </w:pPr>
            <w:r w:rsidRPr="00B45FC6">
              <w:rPr>
                <w:sz w:val="22"/>
                <w:szCs w:val="22"/>
              </w:rPr>
              <w:t xml:space="preserve">                                                                     </w:t>
            </w:r>
            <w:r w:rsidR="00EF699E" w:rsidRPr="00B45FC6">
              <w:rPr>
                <w:sz w:val="22"/>
                <w:szCs w:val="22"/>
              </w:rPr>
              <w:t xml:space="preserve">                   </w:t>
            </w:r>
            <w:r w:rsidRPr="00B45FC6">
              <w:rPr>
                <w:sz w:val="22"/>
                <w:szCs w:val="22"/>
              </w:rPr>
              <w:t>М.П.</w:t>
            </w:r>
          </w:p>
        </w:tc>
      </w:tr>
    </w:tbl>
    <w:p w:rsidR="003855FE" w:rsidRPr="009159C9" w:rsidRDefault="003855FE" w:rsidP="00EC6AF2">
      <w:pPr>
        <w:rPr>
          <w:sz w:val="22"/>
          <w:szCs w:val="22"/>
        </w:rPr>
      </w:pPr>
    </w:p>
    <w:sectPr w:rsidR="003855FE" w:rsidRPr="009159C9">
      <w:footerReference w:type="even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FCE" w:rsidRDefault="004A7FCE" w:rsidP="00BD73E9">
      <w:r>
        <w:separator/>
      </w:r>
    </w:p>
  </w:endnote>
  <w:endnote w:type="continuationSeparator" w:id="0">
    <w:p w:rsidR="004A7FCE" w:rsidRDefault="004A7FCE" w:rsidP="00BD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3E9" w:rsidRDefault="009B26D8" w:rsidP="00BD73E9">
    <w:pPr>
      <w:pStyle w:val="DocId"/>
    </w:pPr>
    <w:fldSimple w:instr=" DOCPROPERTY DOCXDOCID DMS=InterwovenIManage Format=[&lt;&lt;LIB&gt;&gt; &lt;&lt;NUM&gt;&gt;_&lt;&lt;VER&gt;&gt;] PRESERVELOCATION \* MERGEFORMAT ">
      <w:r w:rsidR="00130B93">
        <w:t>[MOSCOW 226451_2]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3E9" w:rsidRDefault="009B26D8" w:rsidP="00BD73E9">
    <w:pPr>
      <w:pStyle w:val="DocId"/>
    </w:pPr>
    <w:fldSimple w:instr=" DOCPROPERTY DOCXDOCID DMS=InterwovenIManage Format=[&lt;&lt;LIB&gt;&gt; &lt;&lt;NUM&gt;&gt;_&lt;&lt;VER&gt;&gt;] PRESERVELOCATION \* MERGEFORMAT ">
      <w:r w:rsidR="00130B93">
        <w:t>[MOSCOW 226451_2]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FCE" w:rsidRDefault="004A7FCE" w:rsidP="00BD73E9">
      <w:r>
        <w:separator/>
      </w:r>
    </w:p>
  </w:footnote>
  <w:footnote w:type="continuationSeparator" w:id="0">
    <w:p w:rsidR="004A7FCE" w:rsidRDefault="004A7FCE" w:rsidP="00BD7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5607"/>
    <w:multiLevelType w:val="hybridMultilevel"/>
    <w:tmpl w:val="45F06AEE"/>
    <w:lvl w:ilvl="0" w:tplc="6C54417C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6223FD5"/>
    <w:multiLevelType w:val="hybridMultilevel"/>
    <w:tmpl w:val="C0FE5E42"/>
    <w:lvl w:ilvl="0" w:tplc="C508691E">
      <w:start w:val="1"/>
      <w:numFmt w:val="russianLow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>
    <w:nsid w:val="1C0B053E"/>
    <w:multiLevelType w:val="hybridMultilevel"/>
    <w:tmpl w:val="821CD47E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5A279F3"/>
    <w:multiLevelType w:val="hybridMultilevel"/>
    <w:tmpl w:val="6624D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B238B"/>
    <w:multiLevelType w:val="hybridMultilevel"/>
    <w:tmpl w:val="6832B266"/>
    <w:lvl w:ilvl="0" w:tplc="1A709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2155F"/>
    <w:multiLevelType w:val="hybridMultilevel"/>
    <w:tmpl w:val="C3F658DC"/>
    <w:lvl w:ilvl="0" w:tplc="2032811E">
      <w:start w:val="1"/>
      <w:numFmt w:val="decimal"/>
      <w:lvlText w:val="(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0F">
      <w:start w:val="1"/>
      <w:numFmt w:val="decimal"/>
      <w:lvlText w:val="%3."/>
      <w:lvlJc w:val="left"/>
      <w:pPr>
        <w:ind w:left="889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6">
    <w:nsid w:val="5EAD4D07"/>
    <w:multiLevelType w:val="multilevel"/>
    <w:tmpl w:val="785E3406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7">
    <w:nsid w:val="7E444011"/>
    <w:multiLevelType w:val="multilevel"/>
    <w:tmpl w:val="032E3D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FE"/>
    <w:rsid w:val="000040F9"/>
    <w:rsid w:val="00086631"/>
    <w:rsid w:val="000A244A"/>
    <w:rsid w:val="000B4A74"/>
    <w:rsid w:val="00100EC6"/>
    <w:rsid w:val="00122376"/>
    <w:rsid w:val="00130B93"/>
    <w:rsid w:val="001533B7"/>
    <w:rsid w:val="001913F7"/>
    <w:rsid w:val="001E445A"/>
    <w:rsid w:val="0021794E"/>
    <w:rsid w:val="00233AA5"/>
    <w:rsid w:val="00234C8C"/>
    <w:rsid w:val="00245035"/>
    <w:rsid w:val="002C1E92"/>
    <w:rsid w:val="00321F06"/>
    <w:rsid w:val="00325481"/>
    <w:rsid w:val="003855FE"/>
    <w:rsid w:val="003B38C2"/>
    <w:rsid w:val="003E2A1D"/>
    <w:rsid w:val="00430F87"/>
    <w:rsid w:val="004674A8"/>
    <w:rsid w:val="00476864"/>
    <w:rsid w:val="004A3E22"/>
    <w:rsid w:val="004A6B64"/>
    <w:rsid w:val="004A7FCE"/>
    <w:rsid w:val="004B0731"/>
    <w:rsid w:val="004F0182"/>
    <w:rsid w:val="004F5E30"/>
    <w:rsid w:val="00501A48"/>
    <w:rsid w:val="00551185"/>
    <w:rsid w:val="005601C4"/>
    <w:rsid w:val="00570AC7"/>
    <w:rsid w:val="005B2F7A"/>
    <w:rsid w:val="005C6324"/>
    <w:rsid w:val="005D21BF"/>
    <w:rsid w:val="005E686E"/>
    <w:rsid w:val="005F46DE"/>
    <w:rsid w:val="005F4927"/>
    <w:rsid w:val="005F582D"/>
    <w:rsid w:val="00620FF2"/>
    <w:rsid w:val="00646593"/>
    <w:rsid w:val="006B23FA"/>
    <w:rsid w:val="0071282D"/>
    <w:rsid w:val="00726E93"/>
    <w:rsid w:val="0074131D"/>
    <w:rsid w:val="00771A60"/>
    <w:rsid w:val="00783B11"/>
    <w:rsid w:val="00785B68"/>
    <w:rsid w:val="007D7C76"/>
    <w:rsid w:val="007F6CB2"/>
    <w:rsid w:val="00810E49"/>
    <w:rsid w:val="00873521"/>
    <w:rsid w:val="008A31B4"/>
    <w:rsid w:val="009A46EA"/>
    <w:rsid w:val="009B26D8"/>
    <w:rsid w:val="009F35E9"/>
    <w:rsid w:val="009F627A"/>
    <w:rsid w:val="00A504C0"/>
    <w:rsid w:val="00A51838"/>
    <w:rsid w:val="00A60095"/>
    <w:rsid w:val="00A76237"/>
    <w:rsid w:val="00AE59C6"/>
    <w:rsid w:val="00B01B5A"/>
    <w:rsid w:val="00B22253"/>
    <w:rsid w:val="00B45FC6"/>
    <w:rsid w:val="00BD012A"/>
    <w:rsid w:val="00BD73E9"/>
    <w:rsid w:val="00C03F12"/>
    <w:rsid w:val="00C50A95"/>
    <w:rsid w:val="00C56713"/>
    <w:rsid w:val="00C86260"/>
    <w:rsid w:val="00CC26ED"/>
    <w:rsid w:val="00CD154C"/>
    <w:rsid w:val="00CD2EEF"/>
    <w:rsid w:val="00D23EA2"/>
    <w:rsid w:val="00D55415"/>
    <w:rsid w:val="00DE628F"/>
    <w:rsid w:val="00E15D47"/>
    <w:rsid w:val="00E23654"/>
    <w:rsid w:val="00E42792"/>
    <w:rsid w:val="00E42A41"/>
    <w:rsid w:val="00E57739"/>
    <w:rsid w:val="00E60168"/>
    <w:rsid w:val="00EA36AF"/>
    <w:rsid w:val="00EC6AF2"/>
    <w:rsid w:val="00EF699E"/>
    <w:rsid w:val="00F07C04"/>
    <w:rsid w:val="00F2427B"/>
    <w:rsid w:val="00F5019D"/>
    <w:rsid w:val="00F8335E"/>
    <w:rsid w:val="00F847B6"/>
    <w:rsid w:val="00F87492"/>
    <w:rsid w:val="00FB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8626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9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94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42A41"/>
  </w:style>
  <w:style w:type="paragraph" w:styleId="a6">
    <w:name w:val="List Paragraph"/>
    <w:basedOn w:val="a"/>
    <w:uiPriority w:val="34"/>
    <w:qFormat/>
    <w:rsid w:val="00C56713"/>
    <w:pPr>
      <w:autoSpaceDE/>
      <w:autoSpaceDN/>
      <w:ind w:left="720"/>
      <w:contextualSpacing/>
    </w:pPr>
    <w:rPr>
      <w:rFonts w:eastAsiaTheme="minorHAnsi" w:cstheme="minorBidi"/>
      <w:sz w:val="24"/>
      <w:szCs w:val="22"/>
      <w:lang w:val="en-US" w:eastAsia="en-US"/>
    </w:rPr>
  </w:style>
  <w:style w:type="paragraph" w:styleId="a7">
    <w:name w:val="header"/>
    <w:basedOn w:val="a"/>
    <w:link w:val="a8"/>
    <w:uiPriority w:val="9"/>
    <w:unhideWhenUsed/>
    <w:rsid w:val="004F5E30"/>
    <w:pPr>
      <w:tabs>
        <w:tab w:val="center" w:pos="4507"/>
        <w:tab w:val="right" w:pos="9000"/>
      </w:tabs>
      <w:autoSpaceDE/>
      <w:autoSpaceDN/>
    </w:pPr>
    <w:rPr>
      <w:rFonts w:eastAsiaTheme="minorHAnsi" w:cstheme="minorBidi"/>
      <w:sz w:val="24"/>
      <w:szCs w:val="22"/>
      <w:lang w:val="en-US" w:eastAsia="en-US"/>
    </w:rPr>
  </w:style>
  <w:style w:type="character" w:customStyle="1" w:styleId="a8">
    <w:name w:val="Верхний колонтитул Знак"/>
    <w:basedOn w:val="a0"/>
    <w:link w:val="a7"/>
    <w:uiPriority w:val="9"/>
    <w:rsid w:val="004F5E30"/>
    <w:rPr>
      <w:rFonts w:ascii="Times New Roman" w:hAnsi="Times New Roman"/>
      <w:sz w:val="24"/>
      <w:lang w:val="en-US"/>
    </w:rPr>
  </w:style>
  <w:style w:type="paragraph" w:styleId="a9">
    <w:name w:val="No Spacing"/>
    <w:uiPriority w:val="1"/>
    <w:qFormat/>
    <w:rsid w:val="00EA36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D73E9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73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Id">
    <w:name w:val="DocId"/>
    <w:basedOn w:val="aa"/>
    <w:rsid w:val="00BD73E9"/>
    <w:pPr>
      <w:tabs>
        <w:tab w:val="clear" w:pos="4844"/>
        <w:tab w:val="clear" w:pos="9689"/>
        <w:tab w:val="center" w:pos="4680"/>
        <w:tab w:val="right" w:pos="9360"/>
      </w:tabs>
      <w:autoSpaceDE/>
      <w:autoSpaceDN/>
    </w:pPr>
    <w:rPr>
      <w:rFonts w:eastAsiaTheme="minorEastAsia" w:cstheme="minorBidi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8626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9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94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42A41"/>
  </w:style>
  <w:style w:type="paragraph" w:styleId="a6">
    <w:name w:val="List Paragraph"/>
    <w:basedOn w:val="a"/>
    <w:uiPriority w:val="34"/>
    <w:qFormat/>
    <w:rsid w:val="00C56713"/>
    <w:pPr>
      <w:autoSpaceDE/>
      <w:autoSpaceDN/>
      <w:ind w:left="720"/>
      <w:contextualSpacing/>
    </w:pPr>
    <w:rPr>
      <w:rFonts w:eastAsiaTheme="minorHAnsi" w:cstheme="minorBidi"/>
      <w:sz w:val="24"/>
      <w:szCs w:val="22"/>
      <w:lang w:val="en-US" w:eastAsia="en-US"/>
    </w:rPr>
  </w:style>
  <w:style w:type="paragraph" w:styleId="a7">
    <w:name w:val="header"/>
    <w:basedOn w:val="a"/>
    <w:link w:val="a8"/>
    <w:uiPriority w:val="9"/>
    <w:unhideWhenUsed/>
    <w:rsid w:val="004F5E30"/>
    <w:pPr>
      <w:tabs>
        <w:tab w:val="center" w:pos="4507"/>
        <w:tab w:val="right" w:pos="9000"/>
      </w:tabs>
      <w:autoSpaceDE/>
      <w:autoSpaceDN/>
    </w:pPr>
    <w:rPr>
      <w:rFonts w:eastAsiaTheme="minorHAnsi" w:cstheme="minorBidi"/>
      <w:sz w:val="24"/>
      <w:szCs w:val="22"/>
      <w:lang w:val="en-US" w:eastAsia="en-US"/>
    </w:rPr>
  </w:style>
  <w:style w:type="character" w:customStyle="1" w:styleId="a8">
    <w:name w:val="Верхний колонтитул Знак"/>
    <w:basedOn w:val="a0"/>
    <w:link w:val="a7"/>
    <w:uiPriority w:val="9"/>
    <w:rsid w:val="004F5E30"/>
    <w:rPr>
      <w:rFonts w:ascii="Times New Roman" w:hAnsi="Times New Roman"/>
      <w:sz w:val="24"/>
      <w:lang w:val="en-US"/>
    </w:rPr>
  </w:style>
  <w:style w:type="paragraph" w:styleId="a9">
    <w:name w:val="No Spacing"/>
    <w:uiPriority w:val="1"/>
    <w:qFormat/>
    <w:rsid w:val="00EA36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D73E9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73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Id">
    <w:name w:val="DocId"/>
    <w:basedOn w:val="aa"/>
    <w:rsid w:val="00BD73E9"/>
    <w:pPr>
      <w:tabs>
        <w:tab w:val="clear" w:pos="4844"/>
        <w:tab w:val="clear" w:pos="9689"/>
        <w:tab w:val="center" w:pos="4680"/>
        <w:tab w:val="right" w:pos="9360"/>
      </w:tabs>
      <w:autoSpaceDE/>
      <w:autoSpaceDN/>
    </w:pPr>
    <w:rPr>
      <w:rFonts w:eastAsiaTheme="minorEastAsia" w:cstheme="minorBidi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-disclosure.ru/portal/company.aspx?id=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E7188-2A4A-40D1-A2DB-50E5AFB59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1002</Words>
  <Characters>5718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Rusal</Company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21</cp:revision>
  <dcterms:created xsi:type="dcterms:W3CDTF">2017-05-18T10:16:00Z</dcterms:created>
  <dcterms:modified xsi:type="dcterms:W3CDTF">2018-08-02T12:58:00Z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[MOSCOW 226451_2]</vt:lpwstr>
  </property>
  <property fmtid="{D5CDD505-2E9C-101B-9397-08002B2CF9AE}" pid="3" name="DocXLocation">
    <vt:lpwstr>Every Page</vt:lpwstr>
  </property>
  <property fmtid="{D5CDD505-2E9C-101B-9397-08002B2CF9AE}" pid="4" name="DocXFormat">
    <vt:lpwstr>CGSH</vt:lpwstr>
  </property>
</Properties>
</file>