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4912DF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BD79B9" w:rsidRDefault="004912F7" w:rsidP="004912F7">
            <w:pPr>
              <w:pStyle w:val="a8"/>
              <w:ind w:left="680" w:right="113"/>
              <w:jc w:val="both"/>
              <w:rPr>
                <w:b/>
                <w:i/>
                <w:sz w:val="22"/>
              </w:rPr>
            </w:pPr>
            <w:r w:rsidRPr="004912F7">
              <w:rPr>
                <w:rFonts w:eastAsia="Calibri"/>
                <w:b/>
                <w:i/>
                <w:sz w:val="22"/>
              </w:rPr>
              <w:t>Предложение</w:t>
            </w:r>
            <w:r w:rsidRPr="004912F7">
              <w:rPr>
                <w:b/>
                <w:i/>
                <w:sz w:val="22"/>
              </w:rPr>
              <w:t xml:space="preserve"> единственному акционеру Общества предоставить согласие на совершение крупной сделки (взаимосвязанных сделок),</w:t>
            </w:r>
            <w:r w:rsidRPr="004912F7">
              <w:rPr>
                <w:b/>
                <w:bCs/>
                <w:i/>
                <w:sz w:val="22"/>
              </w:rPr>
              <w:t xml:space="preserve"> которая одновременно является </w:t>
            </w:r>
            <w:r w:rsidRPr="004912F7">
              <w:rPr>
                <w:b/>
                <w:i/>
                <w:sz w:val="22"/>
              </w:rPr>
              <w:t>сделкой, в совершении которой также имеется заинтересованность.</w:t>
            </w:r>
          </w:p>
          <w:p w:rsidR="004912F7" w:rsidRPr="004912F7" w:rsidRDefault="004912F7" w:rsidP="004912F7">
            <w:pPr>
              <w:pStyle w:val="a8"/>
              <w:ind w:left="680" w:right="113"/>
              <w:jc w:val="both"/>
              <w:rPr>
                <w:b/>
                <w:i/>
                <w:sz w:val="22"/>
              </w:rPr>
            </w:pPr>
          </w:p>
          <w:p w:rsidR="0005626E" w:rsidRPr="00D22FCD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EA0610" w:rsidRPr="00D22FCD" w:rsidRDefault="00EA061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EA0610">
              <w:rPr>
                <w:b/>
                <w:i/>
                <w:sz w:val="22"/>
                <w:szCs w:val="22"/>
              </w:rPr>
              <w:t>. В соответствии с пунктом 3 статьи 49 Федерального закона от 26 декабря 1995 г. № 208-ФЗ «Об акционерных обществах» (с последующими изменениями и дополнениями), а также статьей 11.5 Устава Общества предложить единственному акционеру Общества принять следующее решение по вопросу предоставления согласия на совершение крупной сделки, в совершении которой также имеется заинтересованность:</w:t>
            </w:r>
          </w:p>
          <w:p w:rsidR="00EA0610" w:rsidRPr="00EA0610" w:rsidRDefault="00EA0610" w:rsidP="00EA0610">
            <w:pPr>
              <w:numPr>
                <w:ilvl w:val="0"/>
                <w:numId w:val="20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i/>
                <w:sz w:val="22"/>
                <w:szCs w:val="22"/>
              </w:rPr>
              <w:t>Предоставить согласие на совершение крупной сделки (взаимосвязанных сделок, совокупная цена которых превышает 50 процентов балансовой стоимости активов Общества, определенной по данным бухгалтерской отчетности Общества на последнюю отчетную дату), в совершении которой также имеется заинтересованность лиц, контролирующих Общество,  единоличного исполнительного органа, полномочия которого переданы управляющей организации, и членов Совета Директоров Общества путем заключения и подписания Обществом следующих документов (далее – «Сделка»):</w:t>
            </w:r>
            <w:proofErr w:type="gramEnd"/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EA0610">
              <w:rPr>
                <w:b/>
                <w:i/>
                <w:sz w:val="22"/>
                <w:szCs w:val="22"/>
              </w:rPr>
              <w:t>1. Письмо о согласии (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Consent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Letter</w:t>
            </w:r>
            <w:r w:rsidRPr="00EA0610">
              <w:rPr>
                <w:b/>
                <w:i/>
                <w:sz w:val="22"/>
                <w:szCs w:val="22"/>
              </w:rPr>
              <w:t>) (далее – «Письмо о согласии»), в соответствии с которым, в частности: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i/>
                <w:sz w:val="22"/>
                <w:szCs w:val="22"/>
              </w:rPr>
              <w:t xml:space="preserve">(1) Вносятся изменения в Договор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предэкспортного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финансирования от 24 мая 2017 г. на общую сумму до 2 000 000 000 (двух миллиардов) долларов США (вместе с изменениями к нему, далее – «Кредитный договор») между, среди прочих лиц, 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United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Company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  <w:lang w:val="en-US"/>
              </w:rPr>
              <w:t>Rusal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Plc</w:t>
            </w:r>
            <w:r w:rsidRPr="00EA0610">
              <w:rPr>
                <w:b/>
                <w:i/>
                <w:sz w:val="22"/>
                <w:szCs w:val="22"/>
              </w:rPr>
              <w:t xml:space="preserve"> в качестве заемщика и ING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N.V. в качестве Агента по кредиту (в соответствии с определением термина «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Facility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Agent</w:t>
            </w:r>
            <w:proofErr w:type="spellEnd"/>
            <w:proofErr w:type="gramEnd"/>
            <w:r w:rsidRPr="00EA0610">
              <w:rPr>
                <w:b/>
                <w:i/>
                <w:sz w:val="22"/>
                <w:szCs w:val="22"/>
              </w:rPr>
              <w:t xml:space="preserve">» </w:t>
            </w:r>
            <w:proofErr w:type="gramStart"/>
            <w:r w:rsidRPr="00EA0610">
              <w:rPr>
                <w:b/>
                <w:i/>
                <w:sz w:val="22"/>
                <w:szCs w:val="22"/>
              </w:rPr>
              <w:t>в Кредитном договоре), в частности, в части замены определения термина «Выручка» (в соответствии с термином «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Proceeds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» в Кредитном договоре), содержащегося в статье 23.1 Кредитного договора (в отношении Кредитного договора ранее было предоставлено согласие на совершение крупной сделки (взаимосвязанных сделок), которая одновременно является сделкой, в совершении которой также имеется заинтересованность, Решением единственного акционера Общества от 19 мая 2017 г.); </w:t>
            </w:r>
            <w:proofErr w:type="gramEnd"/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i/>
                <w:sz w:val="22"/>
                <w:szCs w:val="22"/>
              </w:rPr>
              <w:t xml:space="preserve">(2) ING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N.V. в качестве Агента по кредиту (в соответствии с определением термина </w:t>
            </w:r>
            <w:r w:rsidRPr="00EA0610">
              <w:rPr>
                <w:b/>
                <w:i/>
                <w:sz w:val="22"/>
                <w:szCs w:val="22"/>
              </w:rPr>
              <w:lastRenderedPageBreak/>
              <w:t>«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Facility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Agent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>» в Кредитном договоре) предоставляет согласие на внесение необходимых изменений каждым соответствующим Обязанным лицом (в соответствии с определением термина «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Obligor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>» в Кредитном договоре) в Торговые документы (в соответствии с определением термина «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Trade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Documents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>» в Кредитном договоре), заключенные до 6 апреля 2018 г., с тем</w:t>
            </w:r>
            <w:proofErr w:type="gramEnd"/>
            <w:r w:rsidRPr="00EA0610">
              <w:rPr>
                <w:b/>
                <w:i/>
                <w:sz w:val="22"/>
                <w:szCs w:val="22"/>
              </w:rPr>
              <w:t xml:space="preserve">, чтобы обеспечить возможность осуществлять или получать платежи по ним в евро (далее – «Согласие»); 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EA0610">
              <w:rPr>
                <w:b/>
                <w:i/>
                <w:sz w:val="22"/>
                <w:szCs w:val="22"/>
              </w:rPr>
              <w:t>(3) Нарушение условий получения Согласия, изложенных в пункте 4(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EA0610">
              <w:rPr>
                <w:b/>
                <w:i/>
                <w:sz w:val="22"/>
                <w:szCs w:val="22"/>
              </w:rPr>
              <w:t>) Письма о согласии, является Событием неисполнения (в соответствии с определением термина «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Event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of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US"/>
              </w:rPr>
              <w:t>Default</w:t>
            </w:r>
            <w:r w:rsidRPr="00EA0610">
              <w:rPr>
                <w:b/>
                <w:i/>
                <w:sz w:val="22"/>
                <w:szCs w:val="22"/>
              </w:rPr>
              <w:t>» в Кредитном договоре);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i/>
                <w:sz w:val="22"/>
                <w:szCs w:val="22"/>
              </w:rPr>
              <w:t>(4) Каждый Гарант (в соответствии с определением термина «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Guarantor</w:t>
            </w:r>
            <w:r w:rsidRPr="00EA0610">
              <w:rPr>
                <w:b/>
                <w:i/>
                <w:sz w:val="22"/>
                <w:szCs w:val="22"/>
              </w:rPr>
              <w:t>» в Кредитном договоре), в том числе Общество, подтверждает, что соответствующие обязательства, предусмотренные договором гарантии от 24 мая 2017 года, сохраняют полную силу и действие, несмотря на положения Письма о согласии, а также распространяются на любые новые обязательства любого Обязанного лица по любым Финансовым документам (в соответствии с определением термина «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Finance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Documents</w:t>
            </w:r>
            <w:proofErr w:type="gramEnd"/>
            <w:r w:rsidRPr="00EA0610">
              <w:rPr>
                <w:b/>
                <w:i/>
                <w:sz w:val="22"/>
                <w:szCs w:val="22"/>
              </w:rPr>
              <w:t>» в Кредитном договоре), принятые в результате подписания Письма о согласии; и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i/>
                <w:sz w:val="22"/>
                <w:szCs w:val="22"/>
              </w:rPr>
              <w:t>(5) Каждое Обязанное лицо, в том числе Общество, подтверждает, что Обеспечение (в соответствии с определением термина «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Security</w:t>
            </w:r>
            <w:r w:rsidRPr="00EA0610">
              <w:rPr>
                <w:b/>
                <w:i/>
                <w:sz w:val="22"/>
                <w:szCs w:val="22"/>
              </w:rPr>
              <w:t>» в Кредитном договоре), созданное в соответствии с каким-либо Документом по обеспечению (в соответствии с определением термина «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Security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Document</w:t>
            </w:r>
            <w:r w:rsidRPr="00EA0610">
              <w:rPr>
                <w:b/>
                <w:i/>
                <w:sz w:val="22"/>
                <w:szCs w:val="22"/>
              </w:rPr>
              <w:t>» в Кредитном договоре) стороной по которому является соответствующее Обязанное лицо, сохраняет полную силу и действие, несмотря на положения Письма о согласии, а также продолжает обеспечивать</w:t>
            </w:r>
            <w:proofErr w:type="gramEnd"/>
            <w:r w:rsidRPr="00EA0610">
              <w:rPr>
                <w:b/>
                <w:i/>
                <w:sz w:val="22"/>
                <w:szCs w:val="22"/>
              </w:rPr>
              <w:t xml:space="preserve"> его Обеспеченные обязательства (в соответствии с определением термина «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Secured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i/>
                <w:sz w:val="22"/>
                <w:szCs w:val="22"/>
                <w:lang w:val="en-GB"/>
              </w:rPr>
              <w:t>Obligations</w:t>
            </w:r>
            <w:r w:rsidRPr="00EA0610">
              <w:rPr>
                <w:b/>
                <w:i/>
                <w:sz w:val="22"/>
                <w:szCs w:val="22"/>
              </w:rPr>
              <w:t>» в Кредитном договоре) по Финансовым документам с учетом внесенных изменений.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EA0610">
              <w:rPr>
                <w:b/>
                <w:i/>
                <w:sz w:val="22"/>
                <w:szCs w:val="22"/>
              </w:rPr>
              <w:t xml:space="preserve">Сторонами и/или выгодоприобретателями по Письму о согласии являются: </w:t>
            </w:r>
            <w:proofErr w:type="gramStart"/>
            <w:r w:rsidRPr="00EA0610">
              <w:rPr>
                <w:b/>
                <w:i/>
                <w:sz w:val="22"/>
                <w:szCs w:val="22"/>
              </w:rPr>
              <w:t xml:space="preserve">ING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Bank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N.V. (а также иные Финансовые стороны (в соответствии с определением термина «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Finance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Parties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» в Кредитном договоре) в качестве выгодоприобретателей по Письму о согласии),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Rusal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Plc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, RTI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Limited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, RS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Rusal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Marketing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>, Общество, Акционерное общество «РУССКИЙ АЛЮМИНИЙ», Акционерное общество «РУСАЛ Красноярский Алюминиевый Завод», Акционерное общество «РУСАЛ Новокузнецкий Алюминиевый Завод», Акционерное общество «РУСАЛ Саяногорский Алюминиевый</w:t>
            </w:r>
            <w:proofErr w:type="gramEnd"/>
            <w:r w:rsidRPr="00EA0610">
              <w:rPr>
                <w:b/>
                <w:i/>
                <w:sz w:val="22"/>
                <w:szCs w:val="22"/>
              </w:rPr>
              <w:t xml:space="preserve"> Завод», Акционерное общество «Объединенная компания РУСАЛ Уральский Алюминий» и Акционерное общество «Объединенная Компания РУСАЛ – Торговый Дом».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EA0610">
              <w:rPr>
                <w:b/>
                <w:i/>
                <w:sz w:val="22"/>
                <w:szCs w:val="22"/>
              </w:rPr>
              <w:t>2. Иные договоры, соглашения и документы, которые предусмотрены Письмом о согласии и/или которые могут быть заключены в связи с заключением и подписанием Письма о согласии.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EA0610">
              <w:rPr>
                <w:b/>
                <w:i/>
                <w:sz w:val="22"/>
                <w:szCs w:val="22"/>
              </w:rPr>
              <w:t>. Лицами, имеющими заинтересованность в совершении Сделки, являются:</w:t>
            </w:r>
          </w:p>
          <w:p w:rsidR="00EA0610" w:rsidRPr="00EA0610" w:rsidRDefault="00EA0610" w:rsidP="00EA0610">
            <w:pPr>
              <w:numPr>
                <w:ilvl w:val="0"/>
                <w:numId w:val="29"/>
              </w:num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EA0610">
              <w:rPr>
                <w:b/>
                <w:i/>
                <w:sz w:val="22"/>
                <w:szCs w:val="22"/>
              </w:rPr>
              <w:t>Акционерное общество «РУССКИЙ АЛЮМИНИЙ».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bCs/>
                <w:i/>
                <w:sz w:val="22"/>
                <w:szCs w:val="22"/>
                <w:u w:val="single"/>
              </w:rPr>
              <w:t>Основание заинтересованности</w:t>
            </w:r>
            <w:r w:rsidRPr="00EA0610">
              <w:rPr>
                <w:b/>
                <w:bCs/>
                <w:i/>
                <w:sz w:val="22"/>
                <w:szCs w:val="22"/>
              </w:rPr>
              <w:t>: лицо является контролирующим лицом Общества и стороной/выгодоприобретателем по Сделке, а также контролирующим лицом Акционерного общества «РУСАЛ Красноярский Алюминиевый Завод», Акционерного общества «РУСАЛ Новокузнецкий Алюминиевый Завод», Акционерного общества «РУСАЛ Саяногорский Алюминиевый Завод», Акционерного общества «</w:t>
            </w:r>
            <w:r w:rsidRPr="00EA0610">
              <w:rPr>
                <w:b/>
                <w:i/>
                <w:sz w:val="22"/>
                <w:szCs w:val="22"/>
              </w:rPr>
              <w:t>Объединенная компания РУСАЛ Уральский Алюминий</w:t>
            </w:r>
            <w:r w:rsidRPr="00EA0610">
              <w:rPr>
                <w:b/>
                <w:bCs/>
                <w:i/>
                <w:sz w:val="22"/>
                <w:szCs w:val="22"/>
              </w:rPr>
              <w:t>» и Акционерного общества «Объединенная Компания РУСАЛ – Торговый Дом», также являющихся сторонами/выгодоприобретателями по Сделке;</w:t>
            </w:r>
            <w:proofErr w:type="gramEnd"/>
          </w:p>
          <w:p w:rsidR="00EA0610" w:rsidRPr="00EA0610" w:rsidRDefault="00EA0610" w:rsidP="00EA0610">
            <w:pPr>
              <w:numPr>
                <w:ilvl w:val="0"/>
                <w:numId w:val="2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2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EA0610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Rusal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Plc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>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bCs/>
                <w:i/>
                <w:sz w:val="22"/>
                <w:szCs w:val="22"/>
                <w:u w:val="single"/>
              </w:rPr>
              <w:t>Основание заинтересованности</w:t>
            </w:r>
            <w:r w:rsidRPr="00EA0610">
              <w:rPr>
                <w:b/>
                <w:bCs/>
                <w:i/>
                <w:sz w:val="22"/>
                <w:szCs w:val="22"/>
              </w:rPr>
              <w:t xml:space="preserve">: лицо является контролирующим лицом Общества и стороной/выгодоприобретателем по Сделке, а также контролирующим лицом </w:t>
            </w:r>
            <w:r w:rsidRPr="00EA0610">
              <w:rPr>
                <w:b/>
                <w:i/>
                <w:sz w:val="22"/>
                <w:szCs w:val="22"/>
              </w:rPr>
              <w:t>Акционерного общества «РУССКИЙ АЛЮМИНИЙ»</w:t>
            </w:r>
            <w:r w:rsidRPr="00EA0610">
              <w:rPr>
                <w:b/>
                <w:bCs/>
                <w:i/>
                <w:sz w:val="22"/>
                <w:szCs w:val="22"/>
              </w:rPr>
              <w:t>, Акционерного общества «РУСАЛ Красноярский Алюминиевый Завод», Акционерного общества «РУСАЛ Новокузнецкий Алюминиевый Завод», Акционерного общества «РУСАЛ Саяногорский Алюминиевый Завод», Акционерного общества «</w:t>
            </w:r>
            <w:r w:rsidRPr="00EA0610">
              <w:rPr>
                <w:b/>
                <w:i/>
                <w:sz w:val="22"/>
                <w:szCs w:val="22"/>
              </w:rPr>
              <w:t>Объединенная компания РУСАЛ Уральский Алюминий</w:t>
            </w:r>
            <w:r w:rsidRPr="00EA0610">
              <w:rPr>
                <w:b/>
                <w:bCs/>
                <w:i/>
                <w:sz w:val="22"/>
                <w:szCs w:val="22"/>
              </w:rPr>
              <w:t xml:space="preserve">» и Акционерного общества «Объединенная Компания РУСАЛ – Торговый Дом», </w:t>
            </w:r>
            <w:r w:rsidRPr="00EA0610">
              <w:rPr>
                <w:b/>
                <w:i/>
                <w:sz w:val="22"/>
                <w:szCs w:val="22"/>
              </w:rPr>
              <w:t xml:space="preserve">RTI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Limited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, RS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Rusal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Marketing</w:t>
            </w:r>
            <w:proofErr w:type="spellEnd"/>
            <w:proofErr w:type="gramEnd"/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EA0610">
              <w:rPr>
                <w:b/>
                <w:i/>
                <w:sz w:val="22"/>
                <w:szCs w:val="22"/>
              </w:rPr>
              <w:t xml:space="preserve">, </w:t>
            </w:r>
            <w:proofErr w:type="gramStart"/>
            <w:r w:rsidRPr="00EA0610">
              <w:rPr>
                <w:b/>
                <w:bCs/>
                <w:i/>
                <w:sz w:val="22"/>
                <w:szCs w:val="22"/>
              </w:rPr>
              <w:t>являющихся</w:t>
            </w:r>
            <w:proofErr w:type="gramEnd"/>
            <w:r w:rsidRPr="00EA0610">
              <w:rPr>
                <w:b/>
                <w:bCs/>
                <w:i/>
                <w:sz w:val="22"/>
                <w:szCs w:val="22"/>
              </w:rPr>
              <w:t xml:space="preserve"> сторонами/выгодоприобретателями</w:t>
            </w:r>
            <w:r w:rsidRPr="00EA0610">
              <w:rPr>
                <w:b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bCs/>
                <w:i/>
                <w:sz w:val="22"/>
                <w:szCs w:val="22"/>
              </w:rPr>
              <w:t>по Сделке;</w:t>
            </w:r>
          </w:p>
          <w:p w:rsidR="00EA0610" w:rsidRPr="00D22FCD" w:rsidRDefault="00EA0610" w:rsidP="00EA0610">
            <w:pPr>
              <w:numPr>
                <w:ilvl w:val="0"/>
                <w:numId w:val="29"/>
              </w:num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29"/>
              </w:num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  <w:lang w:val="en-US"/>
              </w:rPr>
            </w:pPr>
            <w:r w:rsidRPr="00EA0610">
              <w:rPr>
                <w:b/>
                <w:bCs/>
                <w:i/>
                <w:sz w:val="22"/>
                <w:szCs w:val="22"/>
              </w:rPr>
              <w:t>Закрытое</w:t>
            </w:r>
            <w:r w:rsidRPr="00D22FC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bCs/>
                <w:i/>
                <w:sz w:val="22"/>
                <w:szCs w:val="22"/>
              </w:rPr>
              <w:t>акционерное</w:t>
            </w:r>
            <w:r w:rsidRPr="00D22FC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bCs/>
                <w:i/>
                <w:sz w:val="22"/>
                <w:szCs w:val="22"/>
              </w:rPr>
              <w:t>общество</w:t>
            </w:r>
            <w:r w:rsidRPr="00D22FCD">
              <w:rPr>
                <w:b/>
                <w:bCs/>
                <w:i/>
                <w:sz w:val="22"/>
                <w:szCs w:val="22"/>
              </w:rPr>
              <w:t xml:space="preserve"> «</w:t>
            </w:r>
            <w:r w:rsidRPr="00EA0610">
              <w:rPr>
                <w:b/>
                <w:bCs/>
                <w:i/>
                <w:sz w:val="22"/>
                <w:szCs w:val="22"/>
              </w:rPr>
              <w:t>РУСАЛ</w:t>
            </w:r>
            <w:r w:rsidRPr="00D22FCD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Глобал</w:t>
            </w:r>
            <w:proofErr w:type="spellEnd"/>
            <w:r w:rsidRPr="00D22FC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bCs/>
                <w:i/>
                <w:sz w:val="22"/>
                <w:szCs w:val="22"/>
              </w:rPr>
              <w:t>Менеджмент</w:t>
            </w:r>
            <w:r w:rsidRPr="00D22FC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A0610">
              <w:rPr>
                <w:b/>
                <w:bCs/>
                <w:i/>
                <w:sz w:val="22"/>
                <w:szCs w:val="22"/>
              </w:rPr>
              <w:t>Б</w:t>
            </w:r>
            <w:r w:rsidRPr="00D22FCD">
              <w:rPr>
                <w:b/>
                <w:bCs/>
                <w:i/>
                <w:sz w:val="22"/>
                <w:szCs w:val="22"/>
              </w:rPr>
              <w:t>.</w:t>
            </w:r>
            <w:r w:rsidRPr="00EA0610">
              <w:rPr>
                <w:b/>
                <w:bCs/>
                <w:i/>
                <w:sz w:val="22"/>
                <w:szCs w:val="22"/>
              </w:rPr>
              <w:t>В</w:t>
            </w:r>
            <w:r w:rsidRPr="00D22FCD">
              <w:rPr>
                <w:b/>
                <w:bCs/>
                <w:i/>
                <w:sz w:val="22"/>
                <w:szCs w:val="22"/>
              </w:rPr>
              <w:t xml:space="preserve">.» </w:t>
            </w:r>
            <w:r w:rsidRPr="00EA0610">
              <w:rPr>
                <w:b/>
                <w:bCs/>
                <w:i/>
                <w:sz w:val="22"/>
                <w:szCs w:val="22"/>
                <w:lang w:val="en-US"/>
              </w:rPr>
              <w:t>(Private Limited Liability Company “RUSAL Global Management B.V.”)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bCs/>
                <w:i/>
                <w:sz w:val="22"/>
                <w:szCs w:val="22"/>
                <w:u w:val="single"/>
              </w:rPr>
              <w:t>Основание заинтересованности</w:t>
            </w:r>
            <w:r w:rsidRPr="00EA0610">
              <w:rPr>
                <w:b/>
                <w:bCs/>
                <w:i/>
                <w:sz w:val="22"/>
                <w:szCs w:val="22"/>
              </w:rPr>
              <w:t xml:space="preserve">: лицо осуществляет полномочия единоличного исполнительного органа Общества и также является лицом, осуществляющим полномочия единоличного исполнительного органа  </w:t>
            </w:r>
            <w:r w:rsidRPr="00EA0610">
              <w:rPr>
                <w:b/>
                <w:i/>
                <w:sz w:val="22"/>
                <w:szCs w:val="22"/>
              </w:rPr>
              <w:t>Акционерного общества «РУССКИЙ АЛЮМИНИЙ»</w:t>
            </w:r>
            <w:r w:rsidRPr="00EA0610">
              <w:rPr>
                <w:b/>
                <w:bCs/>
                <w:i/>
                <w:sz w:val="22"/>
                <w:szCs w:val="22"/>
              </w:rPr>
              <w:t xml:space="preserve">, Акционерного </w:t>
            </w:r>
            <w:r w:rsidRPr="00EA0610">
              <w:rPr>
                <w:b/>
                <w:bCs/>
                <w:i/>
                <w:sz w:val="22"/>
                <w:szCs w:val="22"/>
              </w:rPr>
              <w:lastRenderedPageBreak/>
              <w:t>общества «РУСАЛ Красноярский Алюминиевый Завод», Акционерного общества «РУСАЛ Новокузнецкий Алюминиевый Завод», Акционерного общества «РУСАЛ Саяногорский Алюминиевый Завод» и Акционерного общества «</w:t>
            </w:r>
            <w:r w:rsidRPr="00EA0610">
              <w:rPr>
                <w:b/>
                <w:i/>
                <w:sz w:val="22"/>
                <w:szCs w:val="22"/>
              </w:rPr>
              <w:t>Объединенная компания РУСАЛ Уральский Алюминий</w:t>
            </w:r>
            <w:r w:rsidRPr="00EA0610">
              <w:rPr>
                <w:b/>
                <w:bCs/>
                <w:i/>
                <w:sz w:val="22"/>
                <w:szCs w:val="22"/>
              </w:rPr>
              <w:t>», являющихся также сторонами/выгодоприобретателями по Сделке.</w:t>
            </w:r>
            <w:proofErr w:type="gramEnd"/>
          </w:p>
          <w:p w:rsidR="00EA0610" w:rsidRPr="00EA0610" w:rsidRDefault="00EA0610" w:rsidP="00EA0610">
            <w:pPr>
              <w:numPr>
                <w:ilvl w:val="0"/>
                <w:numId w:val="29"/>
              </w:num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29"/>
              </w:num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EA0610">
              <w:rPr>
                <w:b/>
                <w:bCs/>
                <w:i/>
                <w:sz w:val="22"/>
                <w:szCs w:val="22"/>
              </w:rPr>
              <w:t>Бороданенко Владимир Анатольевич, Михайленко Юлия Константиновна.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EA0610">
              <w:rPr>
                <w:b/>
                <w:bCs/>
                <w:i/>
                <w:sz w:val="22"/>
                <w:szCs w:val="22"/>
                <w:u w:val="single"/>
              </w:rPr>
              <w:t>Основание заинтересованности</w:t>
            </w:r>
            <w:r w:rsidRPr="00EA0610">
              <w:rPr>
                <w:b/>
                <w:bCs/>
                <w:i/>
                <w:sz w:val="22"/>
                <w:szCs w:val="22"/>
              </w:rPr>
              <w:t xml:space="preserve">: лица являются членами Совета директоров Общества, а также одновременно занимают должности в органе управления Закрытого акционерного общества «РУСАЛ 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Глобал</w:t>
            </w:r>
            <w:proofErr w:type="spellEnd"/>
            <w:r w:rsidRPr="00EA0610">
              <w:rPr>
                <w:b/>
                <w:bCs/>
                <w:i/>
                <w:sz w:val="22"/>
                <w:szCs w:val="22"/>
              </w:rPr>
              <w:t xml:space="preserve"> Менеджмент Б.В.» (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Private</w:t>
            </w:r>
            <w:proofErr w:type="spellEnd"/>
            <w:r w:rsidRPr="00EA0610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Limited</w:t>
            </w:r>
            <w:proofErr w:type="spellEnd"/>
            <w:r w:rsidRPr="00EA0610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Liability</w:t>
            </w:r>
            <w:proofErr w:type="spellEnd"/>
            <w:r w:rsidRPr="00EA0610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Company</w:t>
            </w:r>
            <w:proofErr w:type="spellEnd"/>
            <w:r w:rsidRPr="00EA0610">
              <w:rPr>
                <w:b/>
                <w:bCs/>
                <w:i/>
                <w:sz w:val="22"/>
                <w:szCs w:val="22"/>
              </w:rPr>
              <w:t xml:space="preserve"> “RUSAL 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Global</w:t>
            </w:r>
            <w:proofErr w:type="spellEnd"/>
            <w:r w:rsidRPr="00EA0610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A0610">
              <w:rPr>
                <w:b/>
                <w:bCs/>
                <w:i/>
                <w:sz w:val="22"/>
                <w:szCs w:val="22"/>
              </w:rPr>
              <w:t>Management</w:t>
            </w:r>
            <w:proofErr w:type="spellEnd"/>
            <w:r w:rsidRPr="00EA0610">
              <w:rPr>
                <w:b/>
                <w:bCs/>
                <w:i/>
                <w:sz w:val="22"/>
                <w:szCs w:val="22"/>
              </w:rPr>
              <w:t xml:space="preserve"> B.V.”), - лица, осуществляющего полномочия единоличного исполнительного органа </w:t>
            </w:r>
            <w:r w:rsidRPr="00EA0610">
              <w:rPr>
                <w:b/>
                <w:i/>
                <w:sz w:val="22"/>
                <w:szCs w:val="22"/>
              </w:rPr>
              <w:t>Акционерного общества «РУССКИЙ АЛЮМИНИЙ»</w:t>
            </w:r>
            <w:r w:rsidRPr="00EA0610">
              <w:rPr>
                <w:b/>
                <w:bCs/>
                <w:i/>
                <w:sz w:val="22"/>
                <w:szCs w:val="22"/>
              </w:rPr>
              <w:t>, Акционерного общества «РУСАЛ Красноярский Алюминиевый Завод», Акционерного общества «РУСАЛ Новокузнецкий Алюминиевый Завод», Акционерного общества «РУСАЛ Саяногорский Алюминиевый</w:t>
            </w:r>
            <w:proofErr w:type="gramEnd"/>
            <w:r w:rsidRPr="00EA0610">
              <w:rPr>
                <w:b/>
                <w:bCs/>
                <w:i/>
                <w:sz w:val="22"/>
                <w:szCs w:val="22"/>
              </w:rPr>
              <w:t xml:space="preserve"> Завод» и Акционерного общества «</w:t>
            </w:r>
            <w:r w:rsidRPr="00EA0610">
              <w:rPr>
                <w:b/>
                <w:i/>
                <w:sz w:val="22"/>
                <w:szCs w:val="22"/>
              </w:rPr>
              <w:t>Объединенная компания РУСАЛ Уральский Алюминий</w:t>
            </w:r>
            <w:r w:rsidRPr="00EA0610">
              <w:rPr>
                <w:b/>
                <w:bCs/>
                <w:i/>
                <w:sz w:val="22"/>
                <w:szCs w:val="22"/>
              </w:rPr>
              <w:t xml:space="preserve">», </w:t>
            </w:r>
            <w:proofErr w:type="gramStart"/>
            <w:r w:rsidRPr="00EA0610">
              <w:rPr>
                <w:b/>
                <w:bCs/>
                <w:i/>
                <w:sz w:val="22"/>
                <w:szCs w:val="22"/>
              </w:rPr>
              <w:t>являющихся</w:t>
            </w:r>
            <w:proofErr w:type="gramEnd"/>
            <w:r w:rsidRPr="00EA0610">
              <w:rPr>
                <w:b/>
                <w:bCs/>
                <w:i/>
                <w:sz w:val="22"/>
                <w:szCs w:val="22"/>
              </w:rPr>
              <w:t xml:space="preserve"> сторонами/выгодоприобретателями по Сделке.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III</w:t>
            </w:r>
            <w:r w:rsidRPr="00EA0610">
              <w:rPr>
                <w:b/>
                <w:i/>
                <w:sz w:val="22"/>
                <w:szCs w:val="22"/>
              </w:rPr>
              <w:t>. Утвердить заключение Совета директоров о крупной сделке (взаимосвязанных сделках), которое приведено в Приложении 1 к настоящему решению.</w:t>
            </w:r>
          </w:p>
          <w:p w:rsidR="00EA0610" w:rsidRPr="00EA0610" w:rsidRDefault="00EA0610" w:rsidP="00EA0610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IV</w:t>
            </w:r>
            <w:r w:rsidRPr="00EA0610">
              <w:rPr>
                <w:b/>
                <w:i/>
                <w:sz w:val="22"/>
                <w:szCs w:val="22"/>
              </w:rPr>
              <w:t xml:space="preserve">. Условия Сделки соответствуют соответствует рыночным, и ее совершение является целесообразным и полностью отвечает интересам Общества. </w:t>
            </w: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EA0610">
              <w:rPr>
                <w:b/>
                <w:i/>
                <w:sz w:val="22"/>
                <w:szCs w:val="22"/>
              </w:rPr>
              <w:t>. 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главы 14 Положения о раскрытии информации эмитентами эмиссионных ценных бумаг, утвержденного Банком России 30.12.2014 №454-П (далее – «Положение») и п. 15.7 главы 15 Положения, установить для Общества, что сведения об условиях Сделки, а также о лицах, являющихся сторонами/выгодоприобретателями по ней, не подлежат раскрытию вплоть до ее совершения.</w:t>
            </w: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VI</w:t>
            </w:r>
            <w:r w:rsidRPr="00EA0610">
              <w:rPr>
                <w:b/>
                <w:i/>
                <w:sz w:val="22"/>
                <w:szCs w:val="22"/>
              </w:rPr>
              <w:t>. Заключение Совета директоров о крупной сделке (взаимосвязанных сделках) включается в информацию (материалы), предоставляемые единственному акционеру для рассмотрения вопроса о предоставлении согласия на совершение Сделки.</w:t>
            </w:r>
          </w:p>
          <w:p w:rsidR="00EA0610" w:rsidRPr="00EA0610" w:rsidRDefault="00EA0610" w:rsidP="00EA0610">
            <w:pPr>
              <w:numPr>
                <w:ilvl w:val="0"/>
                <w:numId w:val="19"/>
              </w:num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  <w:p w:rsidR="008D5C1D" w:rsidRPr="00B84593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D22FCD" w:rsidRPr="00D22FCD">
              <w:rPr>
                <w:b/>
                <w:i/>
                <w:sz w:val="22"/>
                <w:szCs w:val="22"/>
              </w:rPr>
              <w:t>0</w:t>
            </w:r>
            <w:r w:rsidR="004912DF" w:rsidRPr="004912DF">
              <w:rPr>
                <w:b/>
                <w:i/>
                <w:sz w:val="22"/>
                <w:szCs w:val="22"/>
              </w:rPr>
              <w:t>2</w:t>
            </w:r>
            <w:bookmarkStart w:id="0" w:name="_GoBack"/>
            <w:bookmarkEnd w:id="0"/>
            <w:r w:rsidR="004912F7">
              <w:rPr>
                <w:b/>
                <w:i/>
                <w:sz w:val="22"/>
                <w:szCs w:val="22"/>
              </w:rPr>
              <w:t xml:space="preserve"> августа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4912F7">
              <w:rPr>
                <w:b/>
                <w:i/>
                <w:sz w:val="22"/>
                <w:szCs w:val="22"/>
              </w:rPr>
              <w:t>8</w:t>
            </w:r>
            <w:r w:rsidRPr="00B84593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D22FCD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D22FCD" w:rsidRPr="00D22FCD">
              <w:rPr>
                <w:b/>
                <w:i/>
                <w:sz w:val="22"/>
                <w:szCs w:val="22"/>
              </w:rPr>
              <w:t>03</w:t>
            </w:r>
            <w:r w:rsidR="00BD79B9">
              <w:rPr>
                <w:b/>
                <w:i/>
                <w:sz w:val="22"/>
                <w:szCs w:val="22"/>
              </w:rPr>
              <w:t xml:space="preserve"> </w:t>
            </w:r>
            <w:r w:rsidR="004912F7">
              <w:rPr>
                <w:b/>
                <w:i/>
                <w:sz w:val="22"/>
                <w:szCs w:val="22"/>
              </w:rPr>
              <w:t>августа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4912F7">
              <w:rPr>
                <w:b/>
                <w:i/>
                <w:sz w:val="22"/>
                <w:szCs w:val="22"/>
              </w:rPr>
              <w:t>8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B84593">
              <w:rPr>
                <w:b/>
                <w:i/>
                <w:sz w:val="22"/>
                <w:szCs w:val="22"/>
              </w:rPr>
              <w:t xml:space="preserve"> </w:t>
            </w:r>
            <w:r w:rsidR="00D22FCD" w:rsidRPr="00D22FCD">
              <w:rPr>
                <w:b/>
                <w:i/>
                <w:sz w:val="22"/>
                <w:szCs w:val="22"/>
              </w:rPr>
              <w:t>107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B84593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. Дата</w:t>
            </w:r>
            <w:r>
              <w:rPr>
                <w:sz w:val="22"/>
                <w:szCs w:val="22"/>
              </w:rPr>
              <w:tab/>
              <w:t xml:space="preserve"> «_</w:t>
            </w:r>
            <w:r w:rsidR="00D22FCD" w:rsidRPr="004912DF">
              <w:rPr>
                <w:sz w:val="22"/>
                <w:szCs w:val="22"/>
                <w:u w:val="single"/>
              </w:rPr>
              <w:t>03</w:t>
            </w:r>
            <w:r w:rsidRPr="00B84593">
              <w:rPr>
                <w:sz w:val="22"/>
                <w:szCs w:val="22"/>
              </w:rPr>
              <w:t>_»</w:t>
            </w:r>
            <w:r>
              <w:rPr>
                <w:sz w:val="22"/>
                <w:szCs w:val="22"/>
              </w:rPr>
              <w:t xml:space="preserve"> августа </w:t>
            </w:r>
            <w:r w:rsidRPr="00B8459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</w:num>
  <w:num w:numId="14">
    <w:abstractNumId w:val="15"/>
  </w:num>
  <w:num w:numId="15">
    <w:abstractNumId w:val="28"/>
  </w:num>
  <w:num w:numId="16">
    <w:abstractNumId w:val="26"/>
  </w:num>
  <w:num w:numId="17">
    <w:abstractNumId w:val="6"/>
  </w:num>
  <w:num w:numId="18">
    <w:abstractNumId w:val="25"/>
  </w:num>
  <w:num w:numId="19">
    <w:abstractNumId w:val="8"/>
  </w:num>
  <w:num w:numId="20">
    <w:abstractNumId w:val="4"/>
  </w:num>
  <w:num w:numId="21">
    <w:abstractNumId w:val="17"/>
  </w:num>
  <w:num w:numId="22">
    <w:abstractNumId w:val="9"/>
  </w:num>
  <w:num w:numId="23">
    <w:abstractNumId w:val="13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DF"/>
    <w:rsid w:val="004912F7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FDB"/>
    <w:rsid w:val="00B24109"/>
    <w:rsid w:val="00B37E84"/>
    <w:rsid w:val="00B44579"/>
    <w:rsid w:val="00B564CE"/>
    <w:rsid w:val="00B84593"/>
    <w:rsid w:val="00BD24A2"/>
    <w:rsid w:val="00BD79B9"/>
    <w:rsid w:val="00BF1CCE"/>
    <w:rsid w:val="00C40AE7"/>
    <w:rsid w:val="00C44C3E"/>
    <w:rsid w:val="00C83E51"/>
    <w:rsid w:val="00CA072A"/>
    <w:rsid w:val="00CE5F65"/>
    <w:rsid w:val="00CE7602"/>
    <w:rsid w:val="00D021EE"/>
    <w:rsid w:val="00D113C9"/>
    <w:rsid w:val="00D22FCD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045D-9DF7-4C45-BA71-494697E8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1605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11</cp:revision>
  <cp:lastPrinted>2014-07-31T23:43:00Z</cp:lastPrinted>
  <dcterms:created xsi:type="dcterms:W3CDTF">2017-05-03T01:41:00Z</dcterms:created>
  <dcterms:modified xsi:type="dcterms:W3CDTF">2018-08-02T12:49:00Z</dcterms:modified>
</cp:coreProperties>
</file>