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5D" w:rsidRPr="00B84593" w:rsidRDefault="0010235D" w:rsidP="00801863">
      <w:pPr>
        <w:rPr>
          <w:b/>
          <w:sz w:val="22"/>
          <w:szCs w:val="22"/>
        </w:rPr>
      </w:pPr>
    </w:p>
    <w:p w:rsidR="004E0BF4" w:rsidRPr="00B84593" w:rsidRDefault="004E0BF4" w:rsidP="004E0BF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 xml:space="preserve">Сообщение о существенном факте </w:t>
      </w:r>
      <w:r w:rsidR="00945EC1" w:rsidRPr="00B84593">
        <w:rPr>
          <w:b/>
          <w:sz w:val="22"/>
          <w:szCs w:val="22"/>
        </w:rPr>
        <w:t xml:space="preserve">  </w:t>
      </w:r>
      <w:r w:rsidR="00F645CC" w:rsidRPr="00B84593">
        <w:rPr>
          <w:b/>
          <w:sz w:val="22"/>
          <w:szCs w:val="22"/>
        </w:rPr>
        <w:t xml:space="preserve">   </w:t>
      </w:r>
      <w:r w:rsidR="001500E9" w:rsidRPr="00B84593">
        <w:rPr>
          <w:b/>
          <w:sz w:val="22"/>
          <w:szCs w:val="22"/>
        </w:rPr>
        <w:t xml:space="preserve">    </w:t>
      </w:r>
    </w:p>
    <w:p w:rsidR="008451FA" w:rsidRPr="00B84593" w:rsidRDefault="004E0BF4" w:rsidP="004E0BF4">
      <w:pPr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B84593" w:rsidRDefault="008D3C63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7D58C7">
        <w:trPr>
          <w:trHeight w:val="583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7D58C7">
        <w:trPr>
          <w:trHeight w:val="284"/>
        </w:trPr>
        <w:tc>
          <w:tcPr>
            <w:tcW w:w="5246" w:type="dxa"/>
            <w:vAlign w:val="center"/>
          </w:tcPr>
          <w:p w:rsidR="004E0BF4" w:rsidRPr="00B84593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B84593" w:rsidRDefault="00E5457F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0C3755">
            <w:pPr>
              <w:spacing w:after="120"/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0C3755">
            <w:pPr>
              <w:ind w:left="142" w:right="85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5C6C0E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DB7D85" w:rsidRDefault="00DB7D85" w:rsidP="00DB7D85">
            <w:pPr>
              <w:adjustRightInd w:val="0"/>
              <w:ind w:left="142" w:right="142"/>
              <w:jc w:val="both"/>
              <w:rPr>
                <w:b/>
                <w:i/>
                <w:sz w:val="22"/>
                <w:szCs w:val="22"/>
              </w:rPr>
            </w:pPr>
          </w:p>
          <w:p w:rsidR="00950A0E" w:rsidRPr="00636096" w:rsidRDefault="00950A0E" w:rsidP="00DB7D85">
            <w:pPr>
              <w:adjustRightInd w:val="0"/>
              <w:ind w:left="142" w:right="142"/>
              <w:jc w:val="both"/>
              <w:rPr>
                <w:b/>
                <w:i/>
                <w:sz w:val="22"/>
                <w:szCs w:val="22"/>
              </w:rPr>
            </w:pPr>
          </w:p>
          <w:p w:rsidR="0005626E" w:rsidRPr="00950A0E" w:rsidRDefault="006A50A0" w:rsidP="00647FB2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E10C72" w:rsidRDefault="00E10C72" w:rsidP="00E10C72">
            <w:pPr>
              <w:ind w:left="142" w:right="85"/>
              <w:rPr>
                <w:b/>
                <w:i/>
                <w:sz w:val="22"/>
                <w:szCs w:val="22"/>
              </w:rPr>
            </w:pPr>
          </w:p>
          <w:p w:rsidR="00E10C72" w:rsidRPr="00E10C72" w:rsidRDefault="00E10C72" w:rsidP="00E10C72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В соответствии с п.3 ст.49 Федерального закона № 208-ФЗ «Об акционерных обществах», п. 11.5 ст. 11 и п.12.8 ст.12 Устава ПАО «РУСАЛ Братск» предложить единственному акционеру ПАО «РУСАЛ Братск» - АО «РУС</w:t>
            </w:r>
            <w:r>
              <w:rPr>
                <w:b/>
                <w:i/>
                <w:sz w:val="22"/>
                <w:szCs w:val="22"/>
              </w:rPr>
              <w:t xml:space="preserve">АЛ» принять следующее решение: </w:t>
            </w:r>
          </w:p>
          <w:p w:rsidR="00E10C72" w:rsidRDefault="00E10C72" w:rsidP="00E10C72">
            <w:pPr>
              <w:ind w:left="142" w:right="85"/>
              <w:rPr>
                <w:b/>
                <w:i/>
                <w:sz w:val="22"/>
                <w:szCs w:val="22"/>
              </w:rPr>
            </w:pP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 xml:space="preserve">В соответствии со ст. 81, 83 Федерального закона от 26.12.1995 года № 208-ФЗ «Об акционерных обществах» предоставить согласие на последующее одобрение взаимосвязанных сделок, в совершении которых имеется заинтересованность, </w:t>
            </w:r>
            <w:r>
              <w:rPr>
                <w:b/>
                <w:i/>
                <w:sz w:val="22"/>
                <w:szCs w:val="22"/>
              </w:rPr>
              <w:t>на следующих основных условиях: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 xml:space="preserve">1.1. </w:t>
            </w:r>
            <w:proofErr w:type="gramStart"/>
            <w:r w:rsidRPr="00E10C72">
              <w:rPr>
                <w:b/>
                <w:i/>
                <w:sz w:val="22"/>
                <w:szCs w:val="22"/>
              </w:rPr>
              <w:t>Договора поручительства № 250701/18 от 25.01.2018 г. между ПАО «МОСКОВСКИЙ КРЕДИТНЫЙ БАНК» («БАНК») и ПАО «РУСАЛ Братск» («ПОРУЧИТЕЛЬ») (далее – Договор поручительства № 1), являющегося сделкой, в совершении которой имеется заинтересованность, принимая во внимание заключенный между БАНКОМ и Акционерным обществом «РУСАЛ САЯНАЛ» (АО «РУСАЛ САЯНАЛ») Договор о выдаче банковской гарантии № 2507/1801 от 25.01.2018 г. (далее – Догово</w:t>
            </w:r>
            <w:r>
              <w:rPr>
                <w:b/>
                <w:i/>
                <w:sz w:val="22"/>
                <w:szCs w:val="22"/>
              </w:rPr>
              <w:t>р основного обязательства № 1).</w:t>
            </w:r>
            <w:proofErr w:type="gramEnd"/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1.1.1. ПОРУЧИТЕЛЬ обязуется солидарно с АО «РУСАЛ САЯНАЛ» (далее – ДОЛЖНИК) в полном объеме отвечать перед БАНКОМ за исполнение ДОЛЖНИКОМ обязательств по Договору основного обязательства № 1.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1.1.2. ПОРУЧИТЕЛЬ с текстом Договора основного обязательства № 1 ознакомлен и согласен.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1.1.3. В соответствии с Договором поручительства № 1 обеспечивает следующие требования БАНКА: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своевременное и полное исполнение ДОЛЖНИКОМ всех обязательств по Договору основного обязательства № 1, в том числе уплату комиссий, штрафных неустоек по Договору основного обязательства № 1 в объеме задолженности ДОЛЖНИКА на момент удовлетворения требований БАНКА;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возмещение убытков, причиненных просрочкой исполнения и/или неисполнением Договора основного обязательства № 1, в том числе возмещение имущественных потерь БАНКА;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уплату процентов за неправомерное пользование чужими денежными средствами;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lastRenderedPageBreak/>
              <w:t>– возмещение судебных издержек в случае возникновения спора по Договору основного обязательства № 1;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исполнение ДОЛЖНИКОМ всех неисполненных обязатель</w:t>
            </w:r>
            <w:proofErr w:type="gramStart"/>
            <w:r w:rsidRPr="00E10C72">
              <w:rPr>
                <w:b/>
                <w:i/>
                <w:sz w:val="22"/>
                <w:szCs w:val="22"/>
              </w:rPr>
              <w:t>ств пр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>и расторжении Договора основного обязательства № 1;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исполнение требования о возврате полученного по Договору основного обязательства № 1 в случае признания его недействительным / незаключенным и уплату процентов на сумму задолженности за период пользования денежными средствами;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 xml:space="preserve">– уплату сумм задолженности по Договору основного обязательства № 1 в случае признания </w:t>
            </w:r>
            <w:proofErr w:type="gramStart"/>
            <w:r w:rsidRPr="00E10C72">
              <w:rPr>
                <w:b/>
                <w:i/>
                <w:sz w:val="22"/>
                <w:szCs w:val="22"/>
              </w:rPr>
              <w:t>недействительными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 xml:space="preserve"> действий ДОЛЖНИКА по погашению задолженности или исполнению обязательств по Договору основного обязательства № 1;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E10C72">
              <w:rPr>
                <w:b/>
                <w:i/>
                <w:sz w:val="22"/>
                <w:szCs w:val="22"/>
              </w:rPr>
              <w:t>– по исполнению денежных обязательств ДОЛЖНИКА перед БАНКОМ, возникших на основании закона, в том числе на основании международных обычаев совершения документарных операций (сделок),  в связи с  уплатой БАНКОМ денежных средств третьему лицу, уплата которых осуществлена в связи с исполнением БАНКОМ своих обязательств перед третьим лицом по банковской гарантии, предоставленной (ному) по заявлению ДОЛЖНИКА, а также процентов, начисленных на сумму такого денежного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 xml:space="preserve"> обязательства;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возмещение иных расходов БАНКА по Договору основного обязательства № 1.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1.1.4. Настоящим ПОРУЧИТЕЛЬ дает свое согласие: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 xml:space="preserve">Отвечать </w:t>
            </w:r>
            <w:proofErr w:type="gramStart"/>
            <w:r w:rsidRPr="00E10C72">
              <w:rPr>
                <w:b/>
                <w:i/>
                <w:sz w:val="22"/>
                <w:szCs w:val="22"/>
              </w:rPr>
              <w:t>по обязательствам за любого нового должника в случае перевода на другое лицо долга по Договору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 xml:space="preserve"> основного обязательства № 1, в том числе в случае перехода долга по Договору основного обязательства № 1 к правопреемнику ДОЛЖНИКА в результате реорганизации ДОЛЖНИКА, либо к любой из компаний, являющейся аффилированным лицом ДОЛЖНИКА.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1.1.5. В случае изменения условий Договора основного обязательства № 1 отвечать</w:t>
            </w:r>
            <w:r>
              <w:rPr>
                <w:b/>
                <w:i/>
                <w:sz w:val="22"/>
                <w:szCs w:val="22"/>
              </w:rPr>
              <w:t xml:space="preserve"> в пределах следующих значений: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Увеличение м</w:t>
            </w:r>
            <w:r>
              <w:rPr>
                <w:b/>
                <w:i/>
                <w:sz w:val="22"/>
                <w:szCs w:val="22"/>
              </w:rPr>
              <w:t xml:space="preserve">аксимальной суммы задолженности </w:t>
            </w:r>
            <w:r w:rsidRPr="00E10C72">
              <w:rPr>
                <w:b/>
                <w:i/>
                <w:sz w:val="22"/>
                <w:szCs w:val="22"/>
              </w:rPr>
              <w:t>на 10 (Десять) процентов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Увеличение вознаграждения </w:t>
            </w:r>
            <w:r w:rsidRPr="00E10C72">
              <w:rPr>
                <w:b/>
                <w:i/>
                <w:sz w:val="22"/>
                <w:szCs w:val="22"/>
              </w:rPr>
              <w:t>на 5 (Пять) процентных пунктов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Увеличение размера комиссий, причитающихся БАНКУ по Д</w:t>
            </w:r>
            <w:r>
              <w:rPr>
                <w:b/>
                <w:i/>
                <w:sz w:val="22"/>
                <w:szCs w:val="22"/>
              </w:rPr>
              <w:t xml:space="preserve">оговору основного обязательств </w:t>
            </w:r>
            <w:r w:rsidRPr="00E10C72">
              <w:rPr>
                <w:b/>
                <w:i/>
                <w:sz w:val="22"/>
                <w:szCs w:val="22"/>
              </w:rPr>
              <w:t>на 2 (Два</w:t>
            </w:r>
            <w:r>
              <w:rPr>
                <w:b/>
                <w:i/>
                <w:sz w:val="22"/>
                <w:szCs w:val="22"/>
              </w:rPr>
              <w:t>) процентных пункта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1.1.6. Поручительство д</w:t>
            </w:r>
            <w:r>
              <w:rPr>
                <w:b/>
                <w:i/>
                <w:sz w:val="22"/>
                <w:szCs w:val="22"/>
              </w:rPr>
              <w:t>ействует до «28» ноября 2021 г.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1.2. Существенные условия Договора основного обязательства № 1: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 xml:space="preserve">1.2.1. </w:t>
            </w:r>
            <w:proofErr w:type="gramStart"/>
            <w:r w:rsidRPr="00E10C72">
              <w:rPr>
                <w:b/>
                <w:i/>
                <w:sz w:val="22"/>
                <w:szCs w:val="22"/>
              </w:rPr>
              <w:t>ГАРАНТ (БАНК) обязуется выдать в пользу Межрайонной инспекции Федеральной налоговой службы №2 по Республике Хакасия (место нахождения: 655600, Республика Хакасия, г. Саяногорск, ул. Советский микрорайон, д. 30), именуемой в дальнейшем «БЕНЕФИЦИАР», банковскую гарантию № 2507/1801 от «25» января 2018г. (далее – Гарантия), в соответствии с которой ГАРАНТ берет на себя обязательство уплатить БЕНЕФИЦИАРУ по его Требованию денежную сумму в случаях, предусмотренных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 xml:space="preserve"> Гарантией.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E10C72">
              <w:rPr>
                <w:b/>
                <w:i/>
                <w:sz w:val="22"/>
                <w:szCs w:val="22"/>
              </w:rPr>
              <w:t>Гарантия обеспечивает обязательство уплатить БЕНЕФИЦИАРУ по его письменному требованию денежную сумму в случае неисполнения или ненадлежащего исполнения ПРИНЦИПАЛОМ (АО «РУСАЛ САЯНАЛ») своих обязательств по возврату сумм налога на добавленную стоимость,  заявленного в налоговой декларации за 4 квартал 2017 года и излишне полученных ПРИНЦИПАЛОМ (зачтенных ПРИНЦИПАЛУ) в результате возмещения налога на добавленную стоимость в заявительном порядке, если решение о возмещении суммы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 xml:space="preserve"> налога, заявленной к возмещению в заявительном порядке будет отменено полностью или частично в случаях, предусмотренных статьей 176.1 Налогового кодекса Российской Федерации (далее – Основное обязательство).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ПРИНЦИПАЛ с текстом Гарантии ознакомлен и согласен со следующим: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Гарантия независима от Основного обязательства, в обеспечение исполнения которого она выдана, от отношений между ПРИНЦИПАЛОМ и ГАРАНТОМ, а также от каких-либо других обязательств, даже если в Гарантии содержатся ссылки на них;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Гарант не вправе выдвигать против требования БЕНЕФИЦИАРА возражения, вытекающие из Основного обязательства, в обеспечение исполнения которого Гарантия выдана, а также из какого-либо иного обязательства, в том числе из настоящего Договора, и в своих возражениях против требования БЕНЕФИЦИАРА об исполнении Гарантии не вправе ссылаться на обстоятельства, не указанные в Гарантии.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1.2.2. Сумма, на которую выдается Гарантия, составляет 13 736 863,00 (Тринадцать миллионов семьсот тридцать шесть тысяч восемьсот шестьдесят три) рубля 00 копеек.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Все обязательства ГАРАНТА перед БЕНЕФИЦИАРОМ, связанные с исполнением Гарантии, ограничиваются суммой, на которую выдана Гарантия.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Обязательство ГАРАНТА перед БЕНЕФИЦИАРОМ считается исполненным при условии фактического поступления денежных средств на счет БЕНЕФИЦИАРА.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 xml:space="preserve">1.2.3. Гарантия вступает в силу с «25» января 2018г. и действует до «28» ноября 2018г. </w:t>
            </w:r>
            <w:r w:rsidRPr="00E10C72">
              <w:rPr>
                <w:b/>
                <w:i/>
                <w:sz w:val="22"/>
                <w:szCs w:val="22"/>
              </w:rPr>
              <w:lastRenderedPageBreak/>
              <w:t>включительно.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1.2.4. ПРИНЦИПАЛ обязан выплатить ГАРАНТУ комиссионное вознаграждение за выдачу Гарантии (далее – вознаграждение) в размере 0,5 (Ноль целых пять десятых) процента годовых от суммы, указанной в п. 1.2 Договора основного обязательства № 1.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1.2.5. ПРИНЦИПАЛ в день выдачи Гарантии обязан выплатить ГАРАНТУ комиссию за выпуск Гарантии в размере 0,0 рублей.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2.2.6. ПРИНЦИПАЛ обязан ежегодно уплачивать комиссию за годовое обслуживание Договора основного обязательства № 1 в размере 0,0% от суммы Гарантии, установленной в п. 1.2 указанного Договора, не позднее «25» января года, следующего за годом, за который пр</w:t>
            </w:r>
            <w:r>
              <w:rPr>
                <w:b/>
                <w:i/>
                <w:sz w:val="22"/>
                <w:szCs w:val="22"/>
              </w:rPr>
              <w:t>оизводится начисление комиссии.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1.3. Лицами, имеющими заинтересованность в заключени</w:t>
            </w:r>
            <w:proofErr w:type="gramStart"/>
            <w:r w:rsidRPr="00E10C72">
              <w:rPr>
                <w:b/>
                <w:i/>
                <w:sz w:val="22"/>
                <w:szCs w:val="22"/>
              </w:rPr>
              <w:t>и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 xml:space="preserve"> указанного Договора поручительства № 1 являются: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E10C72">
              <w:rPr>
                <w:b/>
                <w:i/>
                <w:sz w:val="22"/>
                <w:szCs w:val="22"/>
                <w:lang w:val="en-US"/>
              </w:rPr>
              <w:t xml:space="preserve">а) </w:t>
            </w:r>
            <w:proofErr w:type="spellStart"/>
            <w:r w:rsidRPr="00E10C72">
              <w:rPr>
                <w:b/>
                <w:i/>
                <w:sz w:val="22"/>
                <w:szCs w:val="22"/>
                <w:lang w:val="en-US"/>
              </w:rPr>
              <w:t>Компания</w:t>
            </w:r>
            <w:proofErr w:type="spellEnd"/>
            <w:r w:rsidRPr="00E10C72">
              <w:rPr>
                <w:b/>
                <w:i/>
                <w:sz w:val="22"/>
                <w:szCs w:val="22"/>
                <w:lang w:val="en-US"/>
              </w:rPr>
              <w:t xml:space="preserve"> United Company </w:t>
            </w:r>
            <w:proofErr w:type="spellStart"/>
            <w:r w:rsidRPr="00E10C72">
              <w:rPr>
                <w:b/>
                <w:i/>
                <w:sz w:val="22"/>
                <w:szCs w:val="22"/>
                <w:lang w:val="en-US"/>
              </w:rPr>
              <w:t>Rusal</w:t>
            </w:r>
            <w:proofErr w:type="spellEnd"/>
            <w:r w:rsidRPr="00E10C72">
              <w:rPr>
                <w:b/>
                <w:i/>
                <w:sz w:val="22"/>
                <w:szCs w:val="22"/>
                <w:lang w:val="en-US"/>
              </w:rPr>
              <w:t xml:space="preserve"> Plc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САЯНАЛ», являющегося выгодоприобретателем в сделке;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б) Акционерное общество «РУССКИЙ АЛЮМИНИЙ»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САЯНАЛ», являющегося выгодоприобретателем в сделке;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 xml:space="preserve">в) Компания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RUSAL</w:t>
            </w:r>
            <w:r w:rsidRPr="00E10C72">
              <w:rPr>
                <w:b/>
                <w:i/>
                <w:sz w:val="22"/>
                <w:szCs w:val="22"/>
              </w:rPr>
              <w:t xml:space="preserve">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Global</w:t>
            </w:r>
            <w:r w:rsidRPr="00E10C72">
              <w:rPr>
                <w:b/>
                <w:i/>
                <w:sz w:val="22"/>
                <w:szCs w:val="22"/>
              </w:rPr>
              <w:t xml:space="preserve">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Management</w:t>
            </w:r>
            <w:r w:rsidRPr="00E10C72">
              <w:rPr>
                <w:b/>
                <w:i/>
                <w:sz w:val="22"/>
                <w:szCs w:val="22"/>
              </w:rPr>
              <w:t xml:space="preserve">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B</w:t>
            </w:r>
            <w:r w:rsidRPr="00E10C72">
              <w:rPr>
                <w:b/>
                <w:i/>
                <w:sz w:val="22"/>
                <w:szCs w:val="22"/>
              </w:rPr>
              <w:t>.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E10C72">
              <w:rPr>
                <w:b/>
                <w:i/>
                <w:sz w:val="22"/>
                <w:szCs w:val="22"/>
              </w:rPr>
              <w:t xml:space="preserve">. (Закрытое акционерное общество «РУСАЛ </w:t>
            </w:r>
            <w:proofErr w:type="spellStart"/>
            <w:r w:rsidRPr="00E10C72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E10C72">
              <w:rPr>
                <w:b/>
                <w:i/>
                <w:sz w:val="22"/>
                <w:szCs w:val="22"/>
              </w:rPr>
              <w:t xml:space="preserve"> Менеджмент Б.В.»)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Основание заинтересованности: лицо, осуществляющее полномочия единоличного исполнительного органа ПАО «РУСАЛ Братск», осуществляет полномочия единоличного исполнительного органа АО «РУСАЛ САЯНАЛ», являющегося выгодоприобретателем в сделке;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г) Члены Совета директоров Тихонова Я.Р., Бороданенко В.А., Михайленко Ю.К.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 xml:space="preserve">Основание заинтересованности: Тихонова Я.Р., Бороданенко В.А., Михайленко Ю.К. являются членами Совета директоров ПАО «РУСАЛ Братск» и одновременно членами Совета директоров Компании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RUSAL</w:t>
            </w:r>
            <w:r w:rsidRPr="00E10C72">
              <w:rPr>
                <w:b/>
                <w:i/>
                <w:sz w:val="22"/>
                <w:szCs w:val="22"/>
              </w:rPr>
              <w:t xml:space="preserve">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Global</w:t>
            </w:r>
            <w:r w:rsidRPr="00E10C72">
              <w:rPr>
                <w:b/>
                <w:i/>
                <w:sz w:val="22"/>
                <w:szCs w:val="22"/>
              </w:rPr>
              <w:t xml:space="preserve">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Management</w:t>
            </w:r>
            <w:r w:rsidRPr="00E10C72">
              <w:rPr>
                <w:b/>
                <w:i/>
                <w:sz w:val="22"/>
                <w:szCs w:val="22"/>
              </w:rPr>
              <w:t xml:space="preserve">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B</w:t>
            </w:r>
            <w:r w:rsidRPr="00E10C72">
              <w:rPr>
                <w:b/>
                <w:i/>
                <w:sz w:val="22"/>
                <w:szCs w:val="22"/>
              </w:rPr>
              <w:t>.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E10C72">
              <w:rPr>
                <w:b/>
                <w:i/>
                <w:sz w:val="22"/>
                <w:szCs w:val="22"/>
              </w:rPr>
              <w:t xml:space="preserve">. (Закрытое акционерное общество «РУСАЛ </w:t>
            </w:r>
            <w:proofErr w:type="spellStart"/>
            <w:r w:rsidRPr="00E10C72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E10C72">
              <w:rPr>
                <w:b/>
                <w:i/>
                <w:sz w:val="22"/>
                <w:szCs w:val="22"/>
              </w:rPr>
              <w:t xml:space="preserve"> Менеджмент Б.В.»), являющейся управляющей организацией АО «РУСАЛ САЯНАЛ», являющегося выгодоприобретателем в сделке;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д) Член Совета директоров Тихонова Я.Р.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Основание заинтересованности: Тихонова Я.Р. является членом Совета директоров ПАО «РУСАЛ Братск» и одновременно членом Совета директоров АО «РУСАЛ САЯНАЛ», являющегося выгодоприобретателем в сделке.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E10C72">
              <w:rPr>
                <w:b/>
                <w:i/>
                <w:sz w:val="22"/>
                <w:szCs w:val="22"/>
              </w:rPr>
              <w:t xml:space="preserve">2.1 Договора поручительства № 251401/18 от 29.01.2018 г. между ПАО «МОСКОВСКИЙ КРЕДИТНЫЙ БАНК» («БАНК») и ПАО «РУСАЛ Братск» («ПОРУЧИТЕЛЬ») (далее – Договор поручительства № 2), являющегося сделкой, в совершении которой имеется заинтересованность, принимая во внимание заключенный между БАНКОМ и Акционерным обществом «РУСАЛ </w:t>
            </w:r>
            <w:proofErr w:type="spellStart"/>
            <w:r w:rsidRPr="00E10C72">
              <w:rPr>
                <w:b/>
                <w:i/>
                <w:sz w:val="22"/>
                <w:szCs w:val="22"/>
              </w:rPr>
              <w:t>Ачинский</w:t>
            </w:r>
            <w:proofErr w:type="spellEnd"/>
            <w:r w:rsidRPr="00E10C72">
              <w:rPr>
                <w:b/>
                <w:i/>
                <w:sz w:val="22"/>
                <w:szCs w:val="22"/>
              </w:rPr>
              <w:t xml:space="preserve"> Глиноземный Комбинат» (АО «РУСАЛ Ачинск») Договор о выдаче банковской гарантии № 2514/1801 от 29.01.2018 г. (далее – Договор основного обязательства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 xml:space="preserve"> № 2).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2.1.1. ПОРУЧИТЕЛЬ обязуется солидарно с АО «РУСАЛ Ачинск» (далее – ДОЛЖНИК) в полном объеме отвечать перед БАНКОМ за исполнение ДОЛЖНИКОМ обязательств по Договору основного обязательства № 2.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2.1.2. ПОРУЧИТЕЛЬ с текстом Договора основного обязательства № 2 ознакомлен и согласен.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2.1.3. В соответствии с Договором поручительства № 2 обеспечивает следующие требования БАНКА: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своевременное и полное исполнение ДОЛЖНИКОМ всех обязательств по Договору основного обязательства № 2, в том числе уплату комиссий, штрафных неустоек по Договору основного обязательства № 2 в объеме задолженности ДОЛЖНИКА на момент удовлетворения требований БАНКА;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возмещение убытков, причиненных просрочкой исполнения и/или неисполнением Договора основного обязательства № 2, в том числе возмещение имущественных потерь БАНКА;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уплату процентов за неправомерное пользование чужими денежными средствами;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возмещение судебных издержек в случае возникновения спора по Договору основного обязательства № 2;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исполнение ДОЛЖНИКОМ всех неисполненных обязатель</w:t>
            </w:r>
            <w:proofErr w:type="gramStart"/>
            <w:r w:rsidRPr="00E10C72">
              <w:rPr>
                <w:b/>
                <w:i/>
                <w:sz w:val="22"/>
                <w:szCs w:val="22"/>
              </w:rPr>
              <w:t>ств пр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>и расторжении Договора основного обязательства № 2;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исполнение требования о возврате полученного по Договору основного обязательства № 2 в случае признания его недействительным / незаключенным и уплату процентов на сумму задолженности за период пользования денежными средствами;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 xml:space="preserve">– уплату сумм задолженности по Договору основного обязательства № 2 в случае признания </w:t>
            </w:r>
            <w:proofErr w:type="gramStart"/>
            <w:r w:rsidRPr="00E10C72">
              <w:rPr>
                <w:b/>
                <w:i/>
                <w:sz w:val="22"/>
                <w:szCs w:val="22"/>
              </w:rPr>
              <w:lastRenderedPageBreak/>
              <w:t>недействительными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 xml:space="preserve"> действий ДОЛЖНИКА по погашению задолженности или исполнению обязательств по Договору основного обязательства № 2;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E10C72">
              <w:rPr>
                <w:b/>
                <w:i/>
                <w:sz w:val="22"/>
                <w:szCs w:val="22"/>
              </w:rPr>
              <w:t>– по исполнению денежных обязательств ДОЛЖНИКА перед БАНКОМ, возникших на основании закона, в том числе на основании международных обычаев совершения документарных операций (сделок),  в связи с  уплатой БАНКОМ денежных средств третьему лицу, уплата которых осуществлена в связи с исполнением БАНКОМ своих обязательств перед третьим лицом по банковской гарантии, предоставленной (ному) по заявлению ДОЛЖНИКА, а также процентов, начисленных на сумму такого денежного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 xml:space="preserve"> обязательства;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возмещение иных расходов БАНКА по Договору основного обязательства № 2.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2.1.4. Настоящим ПОРУЧИТЕЛЬ дает свое согласие: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 xml:space="preserve">Отвечать </w:t>
            </w:r>
            <w:proofErr w:type="gramStart"/>
            <w:r w:rsidRPr="00E10C72">
              <w:rPr>
                <w:b/>
                <w:i/>
                <w:sz w:val="22"/>
                <w:szCs w:val="22"/>
              </w:rPr>
              <w:t>по обязательствам за любого нового должника в случае перевода на другое лицо долга по Договору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 xml:space="preserve"> основного обязательства № 2, в том числе в случае перехода долга по Договору основного обязательства № 2 к правопреемнику ДОЛЖНИКА в результате реорганизации ДОЛЖНИКА, либо к любой из компаний, являющейся аффилированным лицом ДОЛЖНИКА.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2.1.5. В случае изменения условий Договора основного обязательства № 3 отвечать</w:t>
            </w:r>
            <w:r>
              <w:rPr>
                <w:b/>
                <w:i/>
                <w:sz w:val="22"/>
                <w:szCs w:val="22"/>
              </w:rPr>
              <w:t xml:space="preserve"> в пределах следующих значений: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Увеличение м</w:t>
            </w:r>
            <w:r>
              <w:rPr>
                <w:b/>
                <w:i/>
                <w:sz w:val="22"/>
                <w:szCs w:val="22"/>
              </w:rPr>
              <w:t xml:space="preserve">аксимальной суммы задолженности </w:t>
            </w:r>
            <w:r w:rsidRPr="00E10C72">
              <w:rPr>
                <w:b/>
                <w:i/>
                <w:sz w:val="22"/>
                <w:szCs w:val="22"/>
              </w:rPr>
              <w:t>на 10 (Десять) процентов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Увеличение вознаграждения </w:t>
            </w:r>
            <w:r w:rsidRPr="00E10C72">
              <w:rPr>
                <w:b/>
                <w:i/>
                <w:sz w:val="22"/>
                <w:szCs w:val="22"/>
              </w:rPr>
              <w:t>на 5 (Пять) процентных пунктов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Увеличение размера комиссий, причитающихся БАНКУ по Договору основного обязательст</w:t>
            </w:r>
            <w:r>
              <w:rPr>
                <w:b/>
                <w:i/>
                <w:sz w:val="22"/>
                <w:szCs w:val="22"/>
              </w:rPr>
              <w:t>ва на 2 (Два) процентных пункта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2.1.6. Поручительство д</w:t>
            </w:r>
            <w:r>
              <w:rPr>
                <w:b/>
                <w:i/>
                <w:sz w:val="22"/>
                <w:szCs w:val="22"/>
              </w:rPr>
              <w:t>ействует до «30» ноября 2021 г.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2.2. Существенные условия Договора основного обязательства № 2: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 xml:space="preserve">2.2.1. </w:t>
            </w:r>
            <w:proofErr w:type="gramStart"/>
            <w:r w:rsidRPr="00E10C72">
              <w:rPr>
                <w:b/>
                <w:i/>
                <w:sz w:val="22"/>
                <w:szCs w:val="22"/>
              </w:rPr>
              <w:t>ГАРАНТ (БАНК) обязуется выдать в пользу Межрегиональной инспекции Федеральной налоговой службы по крупнейшим налогоплательщикам № 5 (место нахождения: 129223, г. Москва, Проспект Мира, дом 119, строение 164), именуемой в дальнейшем «БЕНЕФИЦИАР», банковскую гарантию № 2514/1801 от «29» января 2018г. (далее – Гарантия), в соответствии с которой ГАРАНТ берет на себя обязательство уплатить БЕНЕФИЦИАРУ по его Требованию денежную сумму в случаях, предусмотренных Гарантией.</w:t>
            </w:r>
            <w:proofErr w:type="gramEnd"/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proofErr w:type="gramStart"/>
            <w:r w:rsidRPr="00E10C72">
              <w:rPr>
                <w:b/>
                <w:i/>
                <w:sz w:val="22"/>
                <w:szCs w:val="22"/>
              </w:rPr>
              <w:t>Гарантия обеспечивает обязательство уплатить БЕНЕФИЦИАРУ по его письменному требованию денежную сумму в случае неисполнения или ненадлежащего исполнения ПРИНЦИПАЛОМ своих обязательств по возврату сумм налога на добавленную стоимость,  заявленного в налоговой декларации за 4 квартал 2017 года и излишне полученных ПРИНЦИПАЛОМ (зачтенных ПРИНЦИПАЛУ) в результате возмещения налога на добавленную стоимость в заявительном порядке, если решение о возмещении суммы налога, заявленной к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 xml:space="preserve"> возмещению в заявительном порядке будет отменено полностью или частично в случаях, предусмотренных статьей 176.1 Налогового кодекса Российской Федерации (далее – Основное обязательство).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ПРИНЦИПАЛ с текстом Гарантии ознакомлен и согласен со следующим: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Гарантия независима от Основного обязательства, в обеспечение исполнения которого она выдана, от отношений между ПРИНЦИПАЛОМ и ГАРАНТОМ, а также от каких-либо других обязательств, даже если в Гарантии содержатся ссылки на них;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– Гарант не вправе выдвигать против требования БЕНЕФИЦИАРА возражения, вытекающие из Основного обязательства, в обеспечение исполнения которого Гарантия выдана, а также из какого-либо иного обязательства, в том числе из настоящего Договора, и в своих возражениях против требования БЕНЕФИЦИАРА об исполнении Гарантии не вправе ссылаться на обстоятельства, не указанные в Гарантии.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2.2.2. Сумма, на которую выдается Гарантия, составляет 133 176 070,00 (Сто тридцать три миллиона сто семьдесят шесть тысяч семьдесят) рублей 00 копеек.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2.2.3. Гарантия вступает в силу с «29» января 2018г. и действует до «30» ноября 2018г. включительно.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2.2.4. ПРИНЦИПАЛ обязан выплатить ГАРАНТУ комиссионное вознаграждение за выдачу Гарантии (далее – вознаграждение) в размере 0,5 (Ноль целых пять десятых) процента годовых от суммы, указанной в п. 1.2 Договора основного обязательства № 2.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2.2.5. ПРИНЦИПАЛ в день выдачи Гарантии обязан выплатить ГАРАНТУ комиссию за выпуск Гарантии в размере 0,0 рублей.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2.2.6. ПРИНЦИПАЛ обязан ежегодно уплачивать комиссию за годовое обслуживание Договора основного обязательства № 2 в размере 0,0% от суммы Гарантии, установленной в п. 1.2 настоящего Договора, не позднее «29» января года, следующего за годом, за который производится начисление комиссии.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2.3. Лицами, имеющими заинтересованность в заключени</w:t>
            </w:r>
            <w:proofErr w:type="gramStart"/>
            <w:r w:rsidRPr="00E10C72">
              <w:rPr>
                <w:b/>
                <w:i/>
                <w:sz w:val="22"/>
                <w:szCs w:val="22"/>
              </w:rPr>
              <w:t>и</w:t>
            </w:r>
            <w:proofErr w:type="gramEnd"/>
            <w:r w:rsidRPr="00E10C72">
              <w:rPr>
                <w:b/>
                <w:i/>
                <w:sz w:val="22"/>
                <w:szCs w:val="22"/>
              </w:rPr>
              <w:t xml:space="preserve"> указанного Договора поручительства </w:t>
            </w:r>
            <w:r w:rsidRPr="00E10C72">
              <w:rPr>
                <w:b/>
                <w:i/>
                <w:sz w:val="22"/>
                <w:szCs w:val="22"/>
              </w:rPr>
              <w:lastRenderedPageBreak/>
              <w:t>№ 2 являются: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E10C72">
              <w:rPr>
                <w:b/>
                <w:i/>
                <w:sz w:val="22"/>
                <w:szCs w:val="22"/>
                <w:lang w:val="en-US"/>
              </w:rPr>
              <w:t xml:space="preserve">а) </w:t>
            </w:r>
            <w:proofErr w:type="spellStart"/>
            <w:r w:rsidRPr="00E10C72">
              <w:rPr>
                <w:b/>
                <w:i/>
                <w:sz w:val="22"/>
                <w:szCs w:val="22"/>
                <w:lang w:val="en-US"/>
              </w:rPr>
              <w:t>Компания</w:t>
            </w:r>
            <w:proofErr w:type="spellEnd"/>
            <w:r w:rsidRPr="00E10C72">
              <w:rPr>
                <w:b/>
                <w:i/>
                <w:sz w:val="22"/>
                <w:szCs w:val="22"/>
                <w:lang w:val="en-US"/>
              </w:rPr>
              <w:t xml:space="preserve"> United Company </w:t>
            </w:r>
            <w:proofErr w:type="spellStart"/>
            <w:r w:rsidRPr="00E10C72">
              <w:rPr>
                <w:b/>
                <w:i/>
                <w:sz w:val="22"/>
                <w:szCs w:val="22"/>
                <w:lang w:val="en-US"/>
              </w:rPr>
              <w:t>Rusal</w:t>
            </w:r>
            <w:proofErr w:type="spellEnd"/>
            <w:r w:rsidRPr="00E10C72">
              <w:rPr>
                <w:b/>
                <w:i/>
                <w:sz w:val="22"/>
                <w:szCs w:val="22"/>
                <w:lang w:val="en-US"/>
              </w:rPr>
              <w:t xml:space="preserve"> Plc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Ачинск», являющегося выгодоприобретателем в сделке;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б) Акционерное общество «РУССКИЙ АЛЮМИНИЙ»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Ачинск», являющегося выгодоприобретателем в сделке;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 xml:space="preserve">в) Компания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RUSAL</w:t>
            </w:r>
            <w:r w:rsidRPr="00E10C72">
              <w:rPr>
                <w:b/>
                <w:i/>
                <w:sz w:val="22"/>
                <w:szCs w:val="22"/>
              </w:rPr>
              <w:t xml:space="preserve">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Global</w:t>
            </w:r>
            <w:r w:rsidRPr="00E10C72">
              <w:rPr>
                <w:b/>
                <w:i/>
                <w:sz w:val="22"/>
                <w:szCs w:val="22"/>
              </w:rPr>
              <w:t xml:space="preserve">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Management</w:t>
            </w:r>
            <w:r w:rsidRPr="00E10C72">
              <w:rPr>
                <w:b/>
                <w:i/>
                <w:sz w:val="22"/>
                <w:szCs w:val="22"/>
              </w:rPr>
              <w:t xml:space="preserve">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B</w:t>
            </w:r>
            <w:r w:rsidRPr="00E10C72">
              <w:rPr>
                <w:b/>
                <w:i/>
                <w:sz w:val="22"/>
                <w:szCs w:val="22"/>
              </w:rPr>
              <w:t>.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E10C72">
              <w:rPr>
                <w:b/>
                <w:i/>
                <w:sz w:val="22"/>
                <w:szCs w:val="22"/>
              </w:rPr>
              <w:t xml:space="preserve">. (Закрытое акционерное общество «РУСАЛ </w:t>
            </w:r>
            <w:proofErr w:type="spellStart"/>
            <w:r w:rsidRPr="00E10C72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E10C72">
              <w:rPr>
                <w:b/>
                <w:i/>
                <w:sz w:val="22"/>
                <w:szCs w:val="22"/>
              </w:rPr>
              <w:t xml:space="preserve"> Менеджмент Б.В.»)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Основание заинтересованности: лицо, осуществляющее полномочия единоличного исполнительного органа ПАО «РУСАЛ Братск», осуществляет полномочия единоличного исполнительного органа АО «РУСАЛ Ачинск», являющегося выгодоприобретателем в сделке;</w:t>
            </w:r>
          </w:p>
          <w:p w:rsidR="00E10C72" w:rsidRPr="00E10C72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>г) Члены Совета директоров Тихонова Я.Р., Бороданенко В.А., Михайленко Ю.К.</w:t>
            </w:r>
          </w:p>
          <w:p w:rsidR="009F258A" w:rsidRPr="009F258A" w:rsidRDefault="00E10C72" w:rsidP="009F258A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E10C72">
              <w:rPr>
                <w:b/>
                <w:i/>
                <w:sz w:val="22"/>
                <w:szCs w:val="22"/>
              </w:rPr>
              <w:t xml:space="preserve">Основание заинтересованности: Тихонова Я.Р., Бороданенко В.А., Михайленко Ю.К. являются членами Совета директоров ПАО «РУСАЛ Братск» и одновременно членами Совета директоров Компании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RUSAL</w:t>
            </w:r>
            <w:r w:rsidRPr="00E10C72">
              <w:rPr>
                <w:b/>
                <w:i/>
                <w:sz w:val="22"/>
                <w:szCs w:val="22"/>
              </w:rPr>
              <w:t xml:space="preserve">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Global</w:t>
            </w:r>
            <w:r w:rsidRPr="00E10C72">
              <w:rPr>
                <w:b/>
                <w:i/>
                <w:sz w:val="22"/>
                <w:szCs w:val="22"/>
              </w:rPr>
              <w:t xml:space="preserve">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Management</w:t>
            </w:r>
            <w:r w:rsidRPr="00E10C72">
              <w:rPr>
                <w:b/>
                <w:i/>
                <w:sz w:val="22"/>
                <w:szCs w:val="22"/>
              </w:rPr>
              <w:t xml:space="preserve"> 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B</w:t>
            </w:r>
            <w:r w:rsidRPr="00E10C72">
              <w:rPr>
                <w:b/>
                <w:i/>
                <w:sz w:val="22"/>
                <w:szCs w:val="22"/>
              </w:rPr>
              <w:t>.</w:t>
            </w:r>
            <w:r w:rsidRPr="00E10C72">
              <w:rPr>
                <w:b/>
                <w:i/>
                <w:sz w:val="22"/>
                <w:szCs w:val="22"/>
                <w:lang w:val="en-US"/>
              </w:rPr>
              <w:t>V</w:t>
            </w:r>
            <w:r w:rsidRPr="00E10C72">
              <w:rPr>
                <w:b/>
                <w:i/>
                <w:sz w:val="22"/>
                <w:szCs w:val="22"/>
              </w:rPr>
              <w:t xml:space="preserve">. (Закрытое акционерное общество «РУСАЛ </w:t>
            </w:r>
            <w:proofErr w:type="spellStart"/>
            <w:r w:rsidRPr="00E10C72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E10C72">
              <w:rPr>
                <w:b/>
                <w:i/>
                <w:sz w:val="22"/>
                <w:szCs w:val="22"/>
              </w:rPr>
              <w:t xml:space="preserve"> Менеджмент Б.В.»), являющейся управляющей организацией АО «РУСАЛ Ачинск», являющегося выгодоприобретателем в сделке.</w:t>
            </w:r>
          </w:p>
          <w:p w:rsidR="00956A58" w:rsidRPr="00475406" w:rsidRDefault="00956A58" w:rsidP="00475406">
            <w:pPr>
              <w:adjustRightInd w:val="0"/>
              <w:ind w:right="142"/>
              <w:jc w:val="both"/>
              <w:rPr>
                <w:b/>
                <w:i/>
                <w:sz w:val="22"/>
              </w:rPr>
            </w:pPr>
          </w:p>
          <w:p w:rsidR="008D5C1D" w:rsidRPr="00F06050" w:rsidRDefault="008D5C1D" w:rsidP="000C3755">
            <w:pPr>
              <w:autoSpaceDE/>
              <w:autoSpaceDN/>
              <w:spacing w:after="120"/>
              <w:ind w:left="142" w:right="133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D765F2" w:rsidRPr="00D765F2">
              <w:rPr>
                <w:sz w:val="22"/>
                <w:szCs w:val="22"/>
              </w:rPr>
              <w:t>3</w:t>
            </w:r>
            <w:r w:rsidRPr="00B84593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E5457F" w:rsidRPr="00E5457F">
              <w:rPr>
                <w:b/>
                <w:i/>
                <w:sz w:val="22"/>
                <w:szCs w:val="22"/>
              </w:rPr>
              <w:t>05</w:t>
            </w:r>
            <w:r w:rsidR="00E10C72">
              <w:rPr>
                <w:b/>
                <w:i/>
                <w:sz w:val="22"/>
                <w:szCs w:val="22"/>
              </w:rPr>
              <w:t xml:space="preserve"> апрел</w:t>
            </w:r>
            <w:r w:rsidR="00E923B3" w:rsidRPr="00F06050">
              <w:rPr>
                <w:b/>
                <w:i/>
                <w:sz w:val="22"/>
                <w:szCs w:val="22"/>
              </w:rPr>
              <w:t>я</w:t>
            </w:r>
            <w:r w:rsidR="005C6C0E" w:rsidRPr="00F06050">
              <w:rPr>
                <w:b/>
                <w:i/>
                <w:sz w:val="22"/>
                <w:szCs w:val="22"/>
              </w:rPr>
              <w:t xml:space="preserve"> </w:t>
            </w:r>
            <w:r w:rsidRPr="00F06050">
              <w:rPr>
                <w:b/>
                <w:i/>
                <w:sz w:val="22"/>
                <w:szCs w:val="22"/>
              </w:rPr>
              <w:t>201</w:t>
            </w:r>
            <w:r w:rsidR="00FB13FF">
              <w:rPr>
                <w:b/>
                <w:i/>
                <w:sz w:val="22"/>
                <w:szCs w:val="22"/>
              </w:rPr>
              <w:t>8</w:t>
            </w:r>
            <w:r w:rsidRPr="00F06050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Default="008D5C1D" w:rsidP="00D765F2">
            <w:pPr>
              <w:autoSpaceDE/>
              <w:autoSpaceDN/>
              <w:ind w:left="142" w:right="133"/>
              <w:jc w:val="both"/>
              <w:rPr>
                <w:b/>
                <w:i/>
                <w:sz w:val="22"/>
                <w:szCs w:val="22"/>
              </w:rPr>
            </w:pPr>
            <w:r w:rsidRPr="00F06050">
              <w:rPr>
                <w:sz w:val="22"/>
                <w:szCs w:val="22"/>
              </w:rPr>
              <w:t>2.</w:t>
            </w:r>
            <w:r w:rsidR="00475406">
              <w:rPr>
                <w:sz w:val="22"/>
                <w:szCs w:val="22"/>
              </w:rPr>
              <w:t>4</w:t>
            </w:r>
            <w:r w:rsidRPr="00F06050">
              <w:rPr>
                <w:sz w:val="22"/>
                <w:szCs w:val="22"/>
              </w:rPr>
              <w:t xml:space="preserve">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F06050">
              <w:rPr>
                <w:b/>
                <w:i/>
                <w:sz w:val="22"/>
                <w:szCs w:val="22"/>
              </w:rPr>
              <w:t xml:space="preserve"> </w:t>
            </w:r>
            <w:r w:rsidR="00E5457F" w:rsidRPr="00E5457F">
              <w:rPr>
                <w:b/>
                <w:i/>
                <w:sz w:val="22"/>
                <w:szCs w:val="22"/>
              </w:rPr>
              <w:t>05</w:t>
            </w:r>
            <w:r w:rsidR="00BD79B9" w:rsidRPr="00F06050">
              <w:rPr>
                <w:b/>
                <w:i/>
                <w:sz w:val="22"/>
                <w:szCs w:val="22"/>
              </w:rPr>
              <w:t xml:space="preserve"> </w:t>
            </w:r>
            <w:r w:rsidR="00E10C72">
              <w:rPr>
                <w:b/>
                <w:i/>
                <w:sz w:val="22"/>
                <w:szCs w:val="22"/>
              </w:rPr>
              <w:t>апрел</w:t>
            </w:r>
            <w:r w:rsidR="00BD79B9" w:rsidRPr="00F06050">
              <w:rPr>
                <w:b/>
                <w:i/>
                <w:sz w:val="22"/>
                <w:szCs w:val="22"/>
              </w:rPr>
              <w:t>я</w:t>
            </w:r>
            <w:r w:rsidR="005C6C0E" w:rsidRPr="00F06050">
              <w:rPr>
                <w:b/>
                <w:i/>
                <w:sz w:val="22"/>
                <w:szCs w:val="22"/>
              </w:rPr>
              <w:t xml:space="preserve"> </w:t>
            </w:r>
            <w:r w:rsidRPr="00F06050">
              <w:rPr>
                <w:b/>
                <w:i/>
                <w:sz w:val="22"/>
                <w:szCs w:val="22"/>
              </w:rPr>
              <w:t>201</w:t>
            </w:r>
            <w:r w:rsidR="00FB13FF">
              <w:rPr>
                <w:b/>
                <w:i/>
                <w:sz w:val="22"/>
                <w:szCs w:val="22"/>
              </w:rPr>
              <w:t>8</w:t>
            </w:r>
            <w:r w:rsidRPr="00F06050">
              <w:rPr>
                <w:b/>
                <w:i/>
                <w:sz w:val="22"/>
                <w:szCs w:val="22"/>
              </w:rPr>
              <w:t xml:space="preserve"> года, №</w:t>
            </w:r>
            <w:r w:rsidR="00FB13FF">
              <w:rPr>
                <w:b/>
                <w:i/>
                <w:sz w:val="22"/>
                <w:szCs w:val="22"/>
              </w:rPr>
              <w:t xml:space="preserve"> </w:t>
            </w:r>
            <w:r w:rsidR="00E10C72" w:rsidRPr="00E5457F">
              <w:rPr>
                <w:b/>
                <w:i/>
                <w:sz w:val="22"/>
                <w:szCs w:val="22"/>
              </w:rPr>
              <w:t>100</w:t>
            </w:r>
            <w:r w:rsidR="005C6C0E" w:rsidRPr="00E5457F">
              <w:rPr>
                <w:b/>
                <w:i/>
                <w:sz w:val="22"/>
                <w:szCs w:val="22"/>
              </w:rPr>
              <w:t>.</w:t>
            </w:r>
          </w:p>
          <w:p w:rsidR="00956A58" w:rsidRPr="00B84593" w:rsidRDefault="00956A58" w:rsidP="00D765F2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</w:p>
        </w:tc>
      </w:tr>
    </w:tbl>
    <w:p w:rsidR="00033018" w:rsidRPr="00B84593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E0BF4" w:rsidP="00956A58">
            <w:pPr>
              <w:widowControl w:val="0"/>
              <w:ind w:left="142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10C72" w:rsidP="00956A58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956A58" w:rsidRDefault="004E0BF4" w:rsidP="00486841">
            <w:pPr>
              <w:jc w:val="center"/>
              <w:rPr>
                <w:sz w:val="20"/>
                <w:szCs w:val="20"/>
              </w:rPr>
            </w:pPr>
            <w:r w:rsidRPr="00956A58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956A58" w:rsidRPr="00CA072A" w:rsidTr="003226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A58" w:rsidRDefault="00956A58" w:rsidP="00956A58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  <w:r w:rsidRPr="009F56C9">
              <w:rPr>
                <w:sz w:val="22"/>
                <w:szCs w:val="22"/>
              </w:rPr>
              <w:t>3.2</w:t>
            </w:r>
            <w:r w:rsidRPr="00B84593">
              <w:rPr>
                <w:sz w:val="22"/>
                <w:szCs w:val="22"/>
              </w:rPr>
              <w:t>. Дата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ab/>
              <w:t>«</w:t>
            </w:r>
            <w:r w:rsidR="00E5457F">
              <w:rPr>
                <w:sz w:val="22"/>
                <w:szCs w:val="22"/>
                <w:lang w:val="en-US"/>
              </w:rPr>
              <w:t>05</w:t>
            </w:r>
            <w:bookmarkStart w:id="0" w:name="_GoBack"/>
            <w:bookmarkEnd w:id="0"/>
            <w:r w:rsidRPr="00B84593">
              <w:rPr>
                <w:sz w:val="22"/>
                <w:szCs w:val="22"/>
              </w:rPr>
              <w:t>»</w:t>
            </w:r>
            <w:r w:rsidR="00E10C72">
              <w:rPr>
                <w:sz w:val="22"/>
                <w:szCs w:val="22"/>
              </w:rPr>
              <w:t xml:space="preserve">  апрел</w:t>
            </w:r>
            <w:r w:rsidRPr="00B84593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 </w:t>
            </w:r>
            <w:r w:rsidRPr="00B84593">
              <w:rPr>
                <w:sz w:val="22"/>
                <w:szCs w:val="22"/>
              </w:rPr>
              <w:t>201</w:t>
            </w:r>
            <w:r w:rsidR="00FB13F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</w:t>
            </w:r>
            <w:r w:rsidR="00C81A35">
              <w:rPr>
                <w:sz w:val="22"/>
                <w:szCs w:val="22"/>
              </w:rPr>
              <w:t xml:space="preserve">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75406" w:rsidRPr="009E67E7" w:rsidRDefault="00475406" w:rsidP="00956A58">
            <w:pPr>
              <w:tabs>
                <w:tab w:val="right" w:pos="1091"/>
              </w:tabs>
              <w:ind w:left="142"/>
              <w:rPr>
                <w:sz w:val="22"/>
                <w:szCs w:val="22"/>
              </w:rPr>
            </w:pPr>
          </w:p>
        </w:tc>
      </w:tr>
    </w:tbl>
    <w:p w:rsidR="00F025CF" w:rsidRPr="00956A58" w:rsidRDefault="00F025CF" w:rsidP="009F56C9">
      <w:pPr>
        <w:rPr>
          <w:sz w:val="22"/>
          <w:szCs w:val="22"/>
        </w:rPr>
      </w:pPr>
    </w:p>
    <w:sectPr w:rsidR="00F025CF" w:rsidRPr="00956A58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C2591E"/>
    <w:multiLevelType w:val="hybridMultilevel"/>
    <w:tmpl w:val="8B9EA0C6"/>
    <w:lvl w:ilvl="0" w:tplc="C508691E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47DFC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F534540"/>
    <w:multiLevelType w:val="hybridMultilevel"/>
    <w:tmpl w:val="FB50B35A"/>
    <w:lvl w:ilvl="0" w:tplc="3EF6F622">
      <w:start w:val="1"/>
      <w:numFmt w:val="upperRoman"/>
      <w:lvlText w:val="%1."/>
      <w:lvlJc w:val="left"/>
      <w:pPr>
        <w:ind w:left="140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8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0942E8A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6CA262EC"/>
    <w:multiLevelType w:val="hybridMultilevel"/>
    <w:tmpl w:val="0DE43D08"/>
    <w:lvl w:ilvl="0" w:tplc="430221E0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24"/>
  </w:num>
  <w:num w:numId="3">
    <w:abstractNumId w:val="18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"/>
  </w:num>
  <w:num w:numId="14">
    <w:abstractNumId w:val="13"/>
  </w:num>
  <w:num w:numId="15">
    <w:abstractNumId w:val="25"/>
  </w:num>
  <w:num w:numId="16">
    <w:abstractNumId w:val="23"/>
  </w:num>
  <w:num w:numId="17">
    <w:abstractNumId w:val="5"/>
  </w:num>
  <w:num w:numId="18">
    <w:abstractNumId w:val="22"/>
  </w:num>
  <w:num w:numId="19">
    <w:abstractNumId w:val="8"/>
  </w:num>
  <w:num w:numId="20">
    <w:abstractNumId w:val="4"/>
  </w:num>
  <w:num w:numId="21">
    <w:abstractNumId w:val="14"/>
  </w:num>
  <w:num w:numId="22">
    <w:abstractNumId w:val="19"/>
  </w:num>
  <w:num w:numId="23">
    <w:abstractNumId w:val="7"/>
  </w:num>
  <w:num w:numId="24">
    <w:abstractNumId w:val="11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E6C"/>
    <w:rsid w:val="00033018"/>
    <w:rsid w:val="00034D1A"/>
    <w:rsid w:val="0005626E"/>
    <w:rsid w:val="00061A93"/>
    <w:rsid w:val="00084B81"/>
    <w:rsid w:val="000942B5"/>
    <w:rsid w:val="000A1B9F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23683F"/>
    <w:rsid w:val="00275F9D"/>
    <w:rsid w:val="002A4E0A"/>
    <w:rsid w:val="002E6C0F"/>
    <w:rsid w:val="002F0F94"/>
    <w:rsid w:val="00347796"/>
    <w:rsid w:val="00375102"/>
    <w:rsid w:val="00386A42"/>
    <w:rsid w:val="003B46DE"/>
    <w:rsid w:val="003F4F2F"/>
    <w:rsid w:val="00417091"/>
    <w:rsid w:val="00430948"/>
    <w:rsid w:val="00450941"/>
    <w:rsid w:val="00465F27"/>
    <w:rsid w:val="00475406"/>
    <w:rsid w:val="004832E2"/>
    <w:rsid w:val="004E0BF4"/>
    <w:rsid w:val="004E0C86"/>
    <w:rsid w:val="004E3A40"/>
    <w:rsid w:val="00503CB8"/>
    <w:rsid w:val="005549E2"/>
    <w:rsid w:val="0056171D"/>
    <w:rsid w:val="00575A18"/>
    <w:rsid w:val="0058452A"/>
    <w:rsid w:val="00585E6C"/>
    <w:rsid w:val="005B7370"/>
    <w:rsid w:val="005C6C0E"/>
    <w:rsid w:val="005D1F22"/>
    <w:rsid w:val="005E77CC"/>
    <w:rsid w:val="005F0379"/>
    <w:rsid w:val="0061449A"/>
    <w:rsid w:val="00615E3D"/>
    <w:rsid w:val="00620D81"/>
    <w:rsid w:val="00636096"/>
    <w:rsid w:val="00647FB2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B3B9C"/>
    <w:rsid w:val="007D58C7"/>
    <w:rsid w:val="007E0316"/>
    <w:rsid w:val="007E2DD8"/>
    <w:rsid w:val="007E779A"/>
    <w:rsid w:val="00801863"/>
    <w:rsid w:val="00816E9D"/>
    <w:rsid w:val="00817AE4"/>
    <w:rsid w:val="008420C6"/>
    <w:rsid w:val="008451FA"/>
    <w:rsid w:val="008754DD"/>
    <w:rsid w:val="008D3C63"/>
    <w:rsid w:val="008D5028"/>
    <w:rsid w:val="008D5C1D"/>
    <w:rsid w:val="0090084F"/>
    <w:rsid w:val="00912972"/>
    <w:rsid w:val="00930983"/>
    <w:rsid w:val="00945EC1"/>
    <w:rsid w:val="00950A0E"/>
    <w:rsid w:val="00952D39"/>
    <w:rsid w:val="00956A58"/>
    <w:rsid w:val="009614D7"/>
    <w:rsid w:val="009772F4"/>
    <w:rsid w:val="009832F5"/>
    <w:rsid w:val="009849CA"/>
    <w:rsid w:val="009856EE"/>
    <w:rsid w:val="009B452C"/>
    <w:rsid w:val="009D0613"/>
    <w:rsid w:val="009D3415"/>
    <w:rsid w:val="009E67E7"/>
    <w:rsid w:val="009F258A"/>
    <w:rsid w:val="009F56C9"/>
    <w:rsid w:val="00A07342"/>
    <w:rsid w:val="00A51B1E"/>
    <w:rsid w:val="00A51D61"/>
    <w:rsid w:val="00A65681"/>
    <w:rsid w:val="00A907D1"/>
    <w:rsid w:val="00A91469"/>
    <w:rsid w:val="00A95165"/>
    <w:rsid w:val="00B17FDB"/>
    <w:rsid w:val="00B24109"/>
    <w:rsid w:val="00B37E84"/>
    <w:rsid w:val="00B44579"/>
    <w:rsid w:val="00B564CE"/>
    <w:rsid w:val="00B84593"/>
    <w:rsid w:val="00BC1917"/>
    <w:rsid w:val="00BD24A2"/>
    <w:rsid w:val="00BD79B9"/>
    <w:rsid w:val="00BF1CCE"/>
    <w:rsid w:val="00C40AE7"/>
    <w:rsid w:val="00C44C3E"/>
    <w:rsid w:val="00C81A35"/>
    <w:rsid w:val="00C83E51"/>
    <w:rsid w:val="00CA072A"/>
    <w:rsid w:val="00CE5F65"/>
    <w:rsid w:val="00CE7602"/>
    <w:rsid w:val="00D021EE"/>
    <w:rsid w:val="00D113C9"/>
    <w:rsid w:val="00D32B1C"/>
    <w:rsid w:val="00D528D9"/>
    <w:rsid w:val="00D765F2"/>
    <w:rsid w:val="00DB7D85"/>
    <w:rsid w:val="00DC58AA"/>
    <w:rsid w:val="00DE4C09"/>
    <w:rsid w:val="00DE5DD5"/>
    <w:rsid w:val="00DF7EDA"/>
    <w:rsid w:val="00E01860"/>
    <w:rsid w:val="00E0391E"/>
    <w:rsid w:val="00E10C72"/>
    <w:rsid w:val="00E5457F"/>
    <w:rsid w:val="00E72D62"/>
    <w:rsid w:val="00E87DFA"/>
    <w:rsid w:val="00E923B3"/>
    <w:rsid w:val="00EA28F2"/>
    <w:rsid w:val="00EC265A"/>
    <w:rsid w:val="00EC5E98"/>
    <w:rsid w:val="00EF1956"/>
    <w:rsid w:val="00F025CF"/>
    <w:rsid w:val="00F06050"/>
    <w:rsid w:val="00F061F3"/>
    <w:rsid w:val="00F0718D"/>
    <w:rsid w:val="00F253F6"/>
    <w:rsid w:val="00F57471"/>
    <w:rsid w:val="00F645CC"/>
    <w:rsid w:val="00F7668B"/>
    <w:rsid w:val="00F807DB"/>
    <w:rsid w:val="00FB13FF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86B1-18F8-43F3-9D48-78582A3F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2687</Words>
  <Characters>15321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15</cp:revision>
  <cp:lastPrinted>2014-07-31T23:43:00Z</cp:lastPrinted>
  <dcterms:created xsi:type="dcterms:W3CDTF">2017-06-27T07:03:00Z</dcterms:created>
  <dcterms:modified xsi:type="dcterms:W3CDTF">2018-04-05T11:45:00Z</dcterms:modified>
</cp:coreProperties>
</file>