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0942B5" w:rsidRDefault="004E0BF4" w:rsidP="004E0BF4">
      <w:pPr>
        <w:jc w:val="center"/>
        <w:rPr>
          <w:b/>
          <w:sz w:val="22"/>
          <w:szCs w:val="22"/>
        </w:rPr>
      </w:pPr>
      <w:r w:rsidRPr="000942B5">
        <w:rPr>
          <w:b/>
          <w:sz w:val="22"/>
          <w:szCs w:val="22"/>
        </w:rPr>
        <w:t xml:space="preserve">Сообщение о существенном факте </w:t>
      </w:r>
      <w:r w:rsidR="00945EC1" w:rsidRPr="000942B5">
        <w:rPr>
          <w:b/>
          <w:sz w:val="22"/>
          <w:szCs w:val="22"/>
        </w:rPr>
        <w:t xml:space="preserve">  </w:t>
      </w:r>
      <w:r w:rsidR="00F645CC" w:rsidRPr="000942B5">
        <w:rPr>
          <w:b/>
          <w:sz w:val="22"/>
          <w:szCs w:val="22"/>
        </w:rPr>
        <w:t xml:space="preserve">   </w:t>
      </w:r>
      <w:r w:rsidR="001500E9" w:rsidRPr="000942B5">
        <w:rPr>
          <w:b/>
          <w:sz w:val="22"/>
          <w:szCs w:val="22"/>
        </w:rPr>
        <w:t xml:space="preserve">    </w:t>
      </w:r>
    </w:p>
    <w:p w:rsidR="008451FA" w:rsidRPr="000942B5" w:rsidRDefault="004E0BF4" w:rsidP="004E0BF4">
      <w:pPr>
        <w:jc w:val="center"/>
        <w:rPr>
          <w:b/>
          <w:sz w:val="20"/>
          <w:szCs w:val="20"/>
        </w:rPr>
      </w:pPr>
      <w:r w:rsidRPr="000942B5">
        <w:rPr>
          <w:b/>
          <w:sz w:val="22"/>
          <w:szCs w:val="22"/>
        </w:rPr>
        <w:t xml:space="preserve">о </w:t>
      </w:r>
      <w:r w:rsidR="008451FA" w:rsidRPr="000942B5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0942B5">
        <w:rPr>
          <w:b/>
          <w:sz w:val="22"/>
          <w:szCs w:val="22"/>
        </w:rPr>
        <w:t>е</w:t>
      </w:r>
      <w:r w:rsidR="008451FA" w:rsidRPr="000942B5">
        <w:rPr>
          <w:b/>
          <w:sz w:val="22"/>
          <w:szCs w:val="22"/>
        </w:rPr>
        <w:t xml:space="preserve"> дня, а также о</w:t>
      </w:r>
      <w:r w:rsidR="000225E2" w:rsidRPr="000942B5">
        <w:rPr>
          <w:b/>
          <w:sz w:val="22"/>
          <w:szCs w:val="22"/>
        </w:rPr>
        <w:t xml:space="preserve"> следующих </w:t>
      </w:r>
      <w:r w:rsidR="008451FA" w:rsidRPr="000942B5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0942B5">
        <w:rPr>
          <w:b/>
          <w:sz w:val="22"/>
          <w:szCs w:val="22"/>
        </w:rPr>
        <w:t xml:space="preserve"> решениях</w:t>
      </w:r>
      <w:r w:rsidR="00A91469" w:rsidRPr="000942B5">
        <w:rPr>
          <w:b/>
          <w:sz w:val="22"/>
          <w:szCs w:val="22"/>
        </w:rPr>
        <w:t xml:space="preserve"> </w:t>
      </w:r>
      <w:r w:rsidR="0023683F" w:rsidRPr="000942B5">
        <w:rPr>
          <w:b/>
          <w:sz w:val="22"/>
          <w:szCs w:val="22"/>
        </w:rPr>
        <w:t xml:space="preserve"> </w:t>
      </w:r>
      <w:r w:rsidR="007873EB" w:rsidRPr="000942B5">
        <w:rPr>
          <w:b/>
          <w:sz w:val="20"/>
          <w:szCs w:val="20"/>
        </w:rPr>
        <w:t xml:space="preserve">    </w:t>
      </w:r>
      <w:r w:rsidR="0058452A" w:rsidRPr="000942B5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0942B5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0942B5" w:rsidTr="007D58C7">
        <w:trPr>
          <w:trHeight w:val="583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0942B5" w:rsidRDefault="00C13AAB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674CFA" w:rsidRPr="000942B5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674CFA" w:rsidRPr="000942B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674CFA" w:rsidRPr="000942B5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0942B5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73089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A73089" w:rsidRDefault="00001428" w:rsidP="00647FB2">
            <w:pPr>
              <w:ind w:left="142" w:right="85"/>
              <w:rPr>
                <w:sz w:val="22"/>
                <w:szCs w:val="22"/>
              </w:rPr>
            </w:pPr>
            <w:r w:rsidRPr="00A73089">
              <w:rPr>
                <w:sz w:val="22"/>
                <w:szCs w:val="22"/>
              </w:rPr>
              <w:t xml:space="preserve">2.1. </w:t>
            </w:r>
            <w:r w:rsidR="008451FA" w:rsidRPr="00A73089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A73089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A73089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A73089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акционерных обществах» и Уставом ОАО «РУСАЛ Братск» кворум имеется.</w:t>
            </w:r>
          </w:p>
          <w:p w:rsidR="008451FA" w:rsidRPr="00A73089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A73089" w:rsidRDefault="008451FA" w:rsidP="00647FB2">
            <w:pPr>
              <w:ind w:left="142" w:right="85"/>
              <w:rPr>
                <w:sz w:val="22"/>
                <w:szCs w:val="22"/>
              </w:rPr>
            </w:pPr>
            <w:r w:rsidRPr="00A73089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F253F6" w:rsidRPr="00A73089" w:rsidRDefault="006A50A0" w:rsidP="00F253F6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A73089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A73089">
              <w:rPr>
                <w:b/>
                <w:i/>
                <w:sz w:val="22"/>
                <w:szCs w:val="22"/>
              </w:rPr>
              <w:t>:</w:t>
            </w:r>
            <w:r w:rsidRPr="00A73089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7D754B" w:rsidRPr="00A73089" w:rsidRDefault="007D754B" w:rsidP="007D754B">
            <w:pPr>
              <w:pStyle w:val="ConsPlusNonformat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A73089">
              <w:rPr>
                <w:rFonts w:ascii="Times New Roman" w:eastAsia="Times New Roman" w:hAnsi="Times New Roman" w:cs="Times New Roman"/>
                <w:b/>
                <w:bCs/>
                <w:i/>
                <w:sz w:val="22"/>
                <w:szCs w:val="22"/>
              </w:rPr>
              <w:t xml:space="preserve">1.Об одобрении  </w:t>
            </w:r>
            <w:r w:rsidR="00640EAF" w:rsidRPr="00A73089">
              <w:rPr>
                <w:rFonts w:ascii="Times New Roman" w:eastAsia="Times New Roman" w:hAnsi="Times New Roman" w:cs="Times New Roman"/>
                <w:b/>
                <w:bCs/>
                <w:i/>
                <w:sz w:val="22"/>
                <w:szCs w:val="22"/>
              </w:rPr>
              <w:t xml:space="preserve">сделок </w:t>
            </w:r>
            <w:r w:rsidRPr="00A73089">
              <w:rPr>
                <w:rFonts w:ascii="Times New Roman" w:eastAsia="Times New Roman" w:hAnsi="Times New Roman" w:cs="Times New Roman"/>
                <w:b/>
                <w:bCs/>
                <w:i/>
                <w:sz w:val="22"/>
                <w:szCs w:val="22"/>
              </w:rPr>
              <w:t xml:space="preserve">между ОАО «РУСАЛ Братск» и ПАО «Иркутскэнерго». </w:t>
            </w:r>
          </w:p>
          <w:p w:rsidR="007D754B" w:rsidRPr="00A73089" w:rsidRDefault="007D754B" w:rsidP="007D754B">
            <w:pPr>
              <w:pStyle w:val="ConsPlusNonformat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A73089">
              <w:rPr>
                <w:rFonts w:ascii="Times New Roman" w:eastAsia="Times New Roman" w:hAnsi="Times New Roman" w:cs="Times New Roman"/>
                <w:b/>
                <w:bCs/>
                <w:i/>
                <w:sz w:val="22"/>
                <w:szCs w:val="22"/>
              </w:rPr>
              <w:t>2. Об одобрении дополнительного соглашения № 8 к контракту  № RS/BrAZ-2015 от 20.12.2014 г. между  ОАО «РУСАЛ Братск» и Фирмой «RS International GmbH».</w:t>
            </w:r>
          </w:p>
          <w:p w:rsidR="00817AE4" w:rsidRPr="00A73089" w:rsidRDefault="007D754B" w:rsidP="007D754B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3.Об одобрении дополнительного соглашения №18 к Договору Переработки № БРп-3-11 от 21.02.2011г. между  ОАО «РУСАЛ Братск»  и АО «РУСАЛ».</w:t>
            </w:r>
          </w:p>
          <w:p w:rsidR="0005626E" w:rsidRPr="00A73089" w:rsidRDefault="006A50A0" w:rsidP="00647FB2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A73089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A73089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A73089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A73089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="00034D1A" w:rsidRPr="00A73089">
              <w:rPr>
                <w:b/>
                <w:i/>
                <w:sz w:val="22"/>
                <w:szCs w:val="22"/>
                <w:u w:val="single"/>
              </w:rPr>
              <w:t xml:space="preserve"> №1</w:t>
            </w:r>
            <w:r w:rsidRPr="00A73089">
              <w:rPr>
                <w:b/>
                <w:i/>
                <w:sz w:val="22"/>
                <w:szCs w:val="22"/>
              </w:rPr>
              <w:t>: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В соответствии с 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пп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. 18 п. 12.2 Устава ОАО «РУСАЛ Братск», одобрить заключение следующих взаимосвязанных сделок между ОАО «РУСАЛ Братск» и Иркутским публичным акционерным обществом энергетики и электрификации (ПАО «Иркутскэнерго»):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1.Дополнительное соглашение  к Договору купли – продажи электрической энергии и мощности  от 01.12.2009 г. № РБ-Д-09-03-354  (далее – СДЭМ 1) между ОАО «РУСАЛ Братск» (Покупатель) и ПАО «Иркутскэнерго» (Продавец), на следующих основных условиях: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1.1.Изложить  пункт 10.1. СДЭМ 1 в следующей редакции: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«Настоящий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Договор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может быть расторгнут по взаимному согласию сторон, а также в случаях, определенных действующим законодательством.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В случае принятия обоюдного решения сторон о прекращении действия настоящего Договора, Покупатель с целью организации собственного энергоснабжения, вправе выбрать иного поставщика (продавца) электрической энергии и мощности.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 xml:space="preserve">В данном случае, а также в случае принятия обоюдного решения между сторонами о заключении нового договора на иных условиях, настоящий Договор прекращает свое действие не ранее срока вступления в силу нового договора, заключенного с иным поставщиком (продавцом) электрической энергии и мощности и/или с Продавцом по настоящему Договору, заключенного на иных условиях». </w:t>
            </w:r>
            <w:proofErr w:type="gramEnd"/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1.2.Стороны СДЭМ  1 принимают меры по заключению свободного двустороннего договора купли-продажи электрической энергии (далее – «СДД 1») со следующими существенными условиями: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наименование и идентификационный код участника оптового рынка - Продавца по СДД 1: ПАО «Иркутскэнерго»,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IRKUTENE</w:t>
            </w:r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наименование и идентификационный код участника оптового рынка - Покупателя по СДД 1: ОАО «РУСАЛ Братск»;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RUSALBAZ</w:t>
            </w:r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дата начала поставки: 00-00 ч. 01.01.2017 г. по московскому времени;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дата окончания поставки: 24-00 ч. 31.12.2026 г.  по московскому времени;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ГТП Продавца: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GIRKEN01</w:t>
            </w:r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lastRenderedPageBreak/>
              <w:t xml:space="preserve">ГТП Покупателя: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PBRALUMZ</w:t>
            </w:r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ГТП СДД 1: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GIRKEN</w:t>
            </w:r>
            <w:r w:rsidRPr="00A73089">
              <w:rPr>
                <w:b/>
                <w:bCs/>
                <w:i/>
                <w:sz w:val="22"/>
                <w:szCs w:val="22"/>
              </w:rPr>
              <w:t>01;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порядок приостановки учёта СДД 1: по обоюдному согласию Сторон;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СДД 1 заключается не в отношении зоны деятельности гарантирующего поставщика;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согласованный объем поставки по СДД 1: 179 064 864 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МВт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.ч</w:t>
            </w:r>
            <w:proofErr w:type="spellEnd"/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; плановый почасовой объем электрической энергии, подлежащей поставке в каждый час суток расчётного периода равен 2043 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МВтч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порядок определения почасового объёма поставки: Корректировка зарегистрированного графика поставки в порядке, определённом в «Регламенте регистрации и учёта двусторонних договоров (Коммерческому оператору выдаётся поручение на корректировку);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тип сокращения: по Покупателю;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порядок подачи уведомления об установлении и/или изменении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приоритета корректировки почасового графика поставки/учёта почасового графика поставки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в плановом почасовом объёме производства/потребления: по обоюдному согласию Сторон;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согласие Сторон на модификацию графиков поставки электроэнергии Коммерческим оператором: да;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по СДД 1 финансовые гарантии не предоставляются;</w:t>
            </w:r>
          </w:p>
          <w:p w:rsidR="00640EAF" w:rsidRPr="00A73089" w:rsidRDefault="00640EAF" w:rsidP="00640EAF">
            <w:pPr>
              <w:numPr>
                <w:ilvl w:val="0"/>
                <w:numId w:val="21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поручение Коммерческому оператору в отношении предоставляемых отчётов: без дополнительной информации, указанной в п. 9.1.2 Регламента свободных двусторонних договоров.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 xml:space="preserve">1.3.Обязательства Сторон по СДЭМ 1, связанные с куплей-продажей  электрической энергии и мощности в период с 00-00 ч. 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мск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 xml:space="preserve">. 01.01.2017 по 24-00 ч. 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мск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. 31.12.2018, прекращаются в момент, когда Коммерческим оператором будет зарегистрирован почасовой (-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ые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) график (-и)  поставки электроэнергии на период с 01.01.2017 по 31.12.2018 по СДД 1, указанному в п.1.2 настоящего решения.</w:t>
            </w:r>
            <w:proofErr w:type="gramEnd"/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1.4.Если, как указано в п.1.3 настоящего решения, Коммерческим оператором будет зарегистрирован почасовой (-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ые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) график (-и)  поставки электрической энергии на период с 01.01.2017 по 31.12.2018 по СДД 1, указанному в п.1.2 настоящего решения, то Стороны СДЭМ  1 в течение 10 рабочих дней, но не менее чем за 2 рабочих дня до начала месяца, в котором учёт СДЭМ 1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должен быть прекращён, подают Коммерческому оператору заявление на прекращение учёта СДЭМ 1.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 xml:space="preserve">В случае прекращения Коммерческим оператором учёта СДЭМ 1, произошедшего на основании заявления Сторон СДЭМ 1, указанного в настоящем пункте, срок действия СДЭМ 1 прекращается в 00-00 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мск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. 01.01.2017, при этом, все неисполненные обязательства Сторон, возникшие до</w:t>
            </w:r>
            <w:r w:rsidRPr="00A73089">
              <w:rPr>
                <w:b/>
                <w:bCs/>
                <w:i/>
                <w:iCs/>
                <w:sz w:val="22"/>
                <w:szCs w:val="22"/>
              </w:rPr>
              <w:t xml:space="preserve">  00-00 </w:t>
            </w:r>
            <w:proofErr w:type="spellStart"/>
            <w:r w:rsidRPr="00A73089">
              <w:rPr>
                <w:b/>
                <w:bCs/>
                <w:i/>
                <w:iCs/>
                <w:sz w:val="22"/>
                <w:szCs w:val="22"/>
              </w:rPr>
              <w:t>мск</w:t>
            </w:r>
            <w:proofErr w:type="spellEnd"/>
            <w:r w:rsidRPr="00A73089">
              <w:rPr>
                <w:b/>
                <w:bCs/>
                <w:i/>
                <w:iCs/>
                <w:sz w:val="22"/>
                <w:szCs w:val="22"/>
              </w:rPr>
              <w:t xml:space="preserve">. 01.01.2017 (финансовые обязательства, обязательства вследствие нарушения условий </w:t>
            </w:r>
            <w:r w:rsidRPr="00A73089">
              <w:rPr>
                <w:b/>
                <w:bCs/>
                <w:i/>
                <w:sz w:val="22"/>
                <w:szCs w:val="22"/>
              </w:rPr>
              <w:t>СДЭМ 1</w:t>
            </w:r>
            <w:r w:rsidRPr="00A73089">
              <w:rPr>
                <w:b/>
                <w:bCs/>
                <w:i/>
                <w:iCs/>
                <w:sz w:val="22"/>
                <w:szCs w:val="22"/>
              </w:rPr>
              <w:t xml:space="preserve">), подлежат выполнению на условиях </w:t>
            </w:r>
            <w:r w:rsidRPr="00A73089">
              <w:rPr>
                <w:b/>
                <w:bCs/>
                <w:i/>
                <w:sz w:val="22"/>
                <w:szCs w:val="22"/>
              </w:rPr>
              <w:t>СДЭМ 1</w:t>
            </w:r>
            <w:r w:rsidRPr="00A73089">
              <w:rPr>
                <w:b/>
                <w:bCs/>
                <w:i/>
                <w:iCs/>
                <w:sz w:val="22"/>
                <w:szCs w:val="22"/>
              </w:rPr>
              <w:t>.</w:t>
            </w:r>
            <w:proofErr w:type="gramEnd"/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iCs/>
                <w:sz w:val="22"/>
                <w:szCs w:val="22"/>
              </w:rPr>
              <w:t>2.</w:t>
            </w:r>
            <w:r w:rsidRPr="00A73089">
              <w:rPr>
                <w:b/>
                <w:bCs/>
                <w:i/>
                <w:sz w:val="22"/>
                <w:szCs w:val="22"/>
              </w:rPr>
              <w:t>Свободный двусторонний договор купли – продажи электрической энергии между ОАО «РУСАЛ Братск»  (Покупатель) и ПАО «Иркутскэнерго» (Продавец),  далее – Договор 1, на следующих основных условиях: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2.1.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Договор 1 является свободным двусторонним договором купли-продажи электрической энергии, заключаемым на оптовом рынке электроэнергии и мощности в соответствии с Правилами оптового рынка электроэнергии и мощности, утвержденными Постановлением Правительства Российской Федерации от 27.12.2012 № 1172 (далее – «Правила оптового рынка»), Договором о присоединении к торговой системе оптового рынка (стандартная форма утверждена решением Наблюдательного совета НП «АТС» (Протокол заседания Наблюдательного совета НП «АТС» от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14.07.2006 № 96))</w:t>
            </w:r>
            <w:r w:rsidRPr="00A73089" w:rsidDel="005D55B9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73089">
              <w:rPr>
                <w:b/>
                <w:bCs/>
                <w:i/>
                <w:sz w:val="22"/>
                <w:szCs w:val="22"/>
              </w:rPr>
              <w:t xml:space="preserve">(далее – Договор о присоединении) и регламентами оптового рынка, являющимися приложениями к Договору о присоединении (в дальнейшем будут упоминаться в тексте настоящего решения и  Договора  либо как «регламенты оптового рынка», либо со ссылкой на соответствующее название одного из регламентов оптового рынка). </w:t>
            </w:r>
            <w:proofErr w:type="gramEnd"/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2.2.</w:t>
            </w:r>
            <w:r w:rsidRPr="00A73089">
              <w:rPr>
                <w:b/>
                <w:bCs/>
                <w:i/>
                <w:sz w:val="22"/>
                <w:szCs w:val="22"/>
              </w:rPr>
              <w:tab/>
              <w:t>Продавец обязуется поставлять (передавать в собственность) Покупателю электрическую энергию в сроки, в объемах (количестве) и на условиях, определенных Договором 1, а Покупатель обязуется принимать и оплачивать электрическую энергию</w:t>
            </w:r>
            <w:bookmarkStart w:id="0" w:name="_Ref448028713"/>
            <w:r w:rsidRPr="00A73089">
              <w:rPr>
                <w:b/>
                <w:bCs/>
                <w:i/>
                <w:sz w:val="22"/>
                <w:szCs w:val="22"/>
              </w:rPr>
              <w:t>.</w:t>
            </w:r>
            <w:bookmarkStart w:id="1" w:name="_Ref448031709"/>
          </w:p>
          <w:bookmarkEnd w:id="1"/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2.3.Поставка электрической энергии по Договору 1 осуществляется в период с 00-00 ч. 01.01.2017 г. (дата начала поставки электроэнергии) по 24-00 ч. 31.12.2026 г. (дата окончания поставки электроэнергии), но не ранее дня, следующего за днем регистрации в Акционерном обществе «Администратор торговой системы оптового рынка электроэнергии» (далее – «Коммерческий оператор») Договора 1, а также почасового (-ых) графика (-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ов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) поставки электрической энергии во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исполнение Договора 1.</w:t>
            </w:r>
            <w:bookmarkEnd w:id="0"/>
            <w:r w:rsidRPr="00A73089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bookmarkStart w:id="2" w:name="_Ref448031523"/>
            <w:r w:rsidRPr="00A73089">
              <w:rPr>
                <w:b/>
                <w:bCs/>
                <w:i/>
                <w:sz w:val="22"/>
                <w:szCs w:val="22"/>
              </w:rPr>
              <w:t xml:space="preserve">2.4.Договор  1 заключен в отношении группы точек поставки Покупателя (далее - ГТП Покупателя), группы точек поставки Продавца (далее - ГТП Продавца), относящихся к ценовой </w:t>
            </w:r>
            <w:r w:rsidRPr="00A73089">
              <w:rPr>
                <w:b/>
                <w:bCs/>
                <w:i/>
                <w:sz w:val="22"/>
                <w:szCs w:val="22"/>
              </w:rPr>
              <w:lastRenderedPageBreak/>
              <w:t>зоне оптового рынка, указанных в подп. 5),6), 7) п.2.6 настоящего решения.</w:t>
            </w:r>
            <w:bookmarkEnd w:id="2"/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bookmarkStart w:id="3" w:name="_Ref448031532"/>
            <w:r w:rsidRPr="00A73089">
              <w:rPr>
                <w:b/>
                <w:bCs/>
                <w:i/>
                <w:sz w:val="22"/>
                <w:szCs w:val="22"/>
              </w:rPr>
              <w:t>2.5.Электрическая энергия передается Продавцом Покупателю в группе точек поставки Договора 1, указанной в подп. 7) п.2.6 настоящего решения.</w:t>
            </w:r>
            <w:bookmarkEnd w:id="3"/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2.6.В дополнение к п. 2.2. настоящего решения Стороны согласовывают условия поставки по Договору 1, информацию для регистрации условий Договора 1 в соответствии с Регламентом регистрации и учета свободных двусторонних договоров купли-продажи электрической энергии (Приложение № 6.1. к Договору о присоединении), далее – «Регламент свободных двусторонних договоров», и условия поручений по Договору 1, передаваемых Сторонами Коммерческому оператору, подлежащие включению в заявление на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регистрацию Договора 1 и/или в уведомление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 (-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>я) о регистрации почасового (-ых) графика (-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ов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) поставки по Договору 1: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наименование и идентификационный код участника оптового рынка - Продавца по Договору 1: ПАО «Иркутскэнерго»,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IRKUTENE</w:t>
            </w:r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наименование и идентификационный код участника оптового рынка - Покупателя по Договору 1: ОАО «РУСАЛ Братск»;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RUSALBAZ</w:t>
            </w:r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дата начала поставки по Договору 1: 00-00 ч. 01.01.2017 г. по московскому времени;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дата окончания поставки по Договору 1: 24-00 ч. 31.12.2026 г.  по московскому времени;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ГТП Продавца: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GIRKEN01</w:t>
            </w:r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ГТП Покупателя: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PBRALUMZ</w:t>
            </w:r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ГТП Договора 1: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GIRKEN</w:t>
            </w:r>
            <w:r w:rsidRPr="00A73089">
              <w:rPr>
                <w:b/>
                <w:bCs/>
                <w:i/>
                <w:sz w:val="22"/>
                <w:szCs w:val="22"/>
              </w:rPr>
              <w:t>01;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порядок приостановки учёта Договора 1: по обоюдному согласию Сторон;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Договор 1 заключён не в отношении зоны деятельности гарантирующего поставщика;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согласованный объем поставки по Договору 1: 179 064 864 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МВт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.ч</w:t>
            </w:r>
            <w:proofErr w:type="spellEnd"/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; 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порядок определения почасового объёма поставки: Корректировка зарегистрированного графика поставки в порядке, определенном в «Регламенте регистрации и учета двусторонних договоров (Коммерческому оператору выдается поручение на корректировку);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тип сокращения: по Покупателю;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порядок подачи уведомления об установлении и/или изменении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приоритета корректировки почасового графика поставки/учета почасового графика поставки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в плановом почасовом объеме производства/потребления: по обоюдному согласию Сторон;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согласие Сторон на модификацию графиков поставки электроэнергии Коммерческим оператором: да;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по Договору 1 финансовые гарантии не предоставляются;</w:t>
            </w:r>
          </w:p>
          <w:p w:rsidR="00640EAF" w:rsidRPr="00A73089" w:rsidRDefault="00640EAF" w:rsidP="00640EAF">
            <w:pPr>
              <w:numPr>
                <w:ilvl w:val="0"/>
                <w:numId w:val="19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поручение Коммерческому оператору в отношении предоставляемых отчётов: без дополнительной информации, указанной в п. 9.1.2 Регламента свободных двусторонних договоров.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После регистрации Договора 1 Коммерческим оператором в соответствии с условиями, определёнными в п. 1.6 настоящего решения, Стороны дают поручение Коммерческому оператору о корректировке объёмов поставки электрической энергии по Договору 1 с учётом наивысшего совокупного приоритета. Стороны гарантируют, что значение приоритета, установленное в отношении графиков поставки по Договору 1, является максимальным из возможных значений.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2.7. Право собственности на электрическую энергию переходит от Продавца к Покупателю в ГТП Договора 1, указанной Сторонами в подп. 7) п. 2.6  настоящего решения.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2.8.Продавец не вправе сокращать количество электрической энергии, подлежащее поставке по Договору 1, определённое в п. 2.10 настоящего решения  и Приложении № 2 к настоящему решению.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2.9.Договорный объем (количество) электрической энергии, подлежащей передаче (поставке) по Договору 1  в каждый месяц в течение периода поставки, определен в Приложении № 2 к настоящему решению.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bookmarkStart w:id="4" w:name="_Ref448030602"/>
            <w:r w:rsidRPr="00A73089">
              <w:rPr>
                <w:b/>
                <w:bCs/>
                <w:i/>
                <w:sz w:val="22"/>
                <w:szCs w:val="22"/>
              </w:rPr>
              <w:t xml:space="preserve">2.10. Плановый почасовой объем электрической энергии, подлежащей поставке по Договору 1 в каждый час суток расчетного периода, равен 2043 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МВтч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.</w:t>
            </w:r>
            <w:bookmarkEnd w:id="4"/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 xml:space="preserve">2.11.Фактические объемы электрической энергии, переданные (поставленные) за соответствующий расчетный период Продавцом Покупателю по Договору 1, определяются Коммерческим оператором с учётом предоставленных Сторонами почасовых графиков поставки электрической энергии и регистрационной информации, согласованной Сторонами в Договоре 1, в отчетах, представляемых Сторонам в соответствии с Правилами оптового рынка, Договором о </w:t>
            </w:r>
            <w:r w:rsidRPr="00A73089">
              <w:rPr>
                <w:b/>
                <w:bCs/>
                <w:i/>
                <w:sz w:val="22"/>
                <w:szCs w:val="22"/>
              </w:rPr>
              <w:lastRenderedPageBreak/>
              <w:t>присоединении и Регламентами оптового рынка.</w:t>
            </w:r>
            <w:proofErr w:type="gramEnd"/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2.12.Порядок определения стоимости электроэнергии по Договору 1, установлен в Приложении № 1 и 1.1 к настоящему решению.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2.13.В случае изменения Ассоциацией «НП Совет рынка» Договора о присоединении, регламентов оптового рынка, при исполнении обязательств, принятых по Договору 1, Стороны будут руководствоваться положениями действующей (последней) редакции Договора 1 о присоединении, соответствующего регламента оптового рынка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с даты вступления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ее в силу.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2.14.Для целей настоящего решения и Договора  1 используются понятия, соответствующие определениям, установленным Правилами оптового рынка, Договором о присоединении и Перечнем определений и принятых сокращений, являющимся приложением к Договору о присоединении.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iCs/>
                <w:sz w:val="22"/>
                <w:szCs w:val="22"/>
              </w:rPr>
              <w:t>3.</w:t>
            </w:r>
            <w:r w:rsidRPr="00A73089">
              <w:rPr>
                <w:b/>
                <w:bCs/>
                <w:i/>
                <w:sz w:val="22"/>
                <w:szCs w:val="22"/>
              </w:rPr>
              <w:t xml:space="preserve"> Дополнительное соглашение  к Договору купли – продажи электрической энергии и мощности  от 15.11.2009 г. № 04/180   (далее – СДЭМ 2) между ОАО «РУСАЛ Братск» (Покупатель) и ПАО «Иркутскэнерго» (Продавец»), на следующих основных условиях: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3.1.Изложить  пункт 10.1 СДЭМ 2 в следующей редакции: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«Настоящий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Договор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может быть расторгнут по взаимному согласию сторон, а также в случаях, определенных действующим законодательством.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В случае принятия обоюдного решения сторон о прекращении действия настоящего Договора, Покупатель с целью организации собственного энергоснабжения, вправе выбрать иного поставщика (продавца) электрической энергии и мощности.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В данном случае, а также в случае принятия обоюдного решения между сторонами о заключении нового договора на иных условиях, настоящий Договор прекращает свое действие не ранее срока вступления в силу нового договора, заключенного с иным поставщиком (продавцом) электрической энергии и мощности и/или с Продавцом по настоящему Договору, заключенного на иных условиях».</w:t>
            </w:r>
            <w:proofErr w:type="gramEnd"/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3.2.Стороны СДЭМ 2 принимают меры по заключению свободного двустороннего договора купли-продажи электрической энергии (далее – «СДД 2») со следующими существенными условиями: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а. наименование и идентификационный код участника оптового рынка - Продавца по СДД 2: ПАО «Иркутскэнерго»,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IRKUTENE</w:t>
            </w:r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б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. наименование и идентификационный код участника оптового рынка - Покупателя по СДД 2: ОАО «РУСАЛ Братск»;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RUSALBAZ</w:t>
            </w:r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в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.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дата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начала поставки: 00-00 ч. 01.01.2017 г. по московскому времени;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г. дата окончания поставки: 24-00 ч. 31.12.2026 г.  по московскому времени;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д. ГТП Продавца: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GIRKEN</w:t>
            </w:r>
            <w:r w:rsidRPr="00A73089">
              <w:rPr>
                <w:b/>
                <w:bCs/>
                <w:i/>
                <w:sz w:val="22"/>
                <w:szCs w:val="22"/>
              </w:rPr>
              <w:t>04;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е. ГТП Покупателя: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PSUALIAZ</w:t>
            </w:r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ж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. ГТП СДД 2: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GIRKEN</w:t>
            </w:r>
            <w:r w:rsidRPr="00A73089">
              <w:rPr>
                <w:b/>
                <w:bCs/>
                <w:i/>
                <w:sz w:val="22"/>
                <w:szCs w:val="22"/>
              </w:rPr>
              <w:t>04;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з. порядок приостановки учёта СДД 2: по обоюдному согласию Сторон;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и. СДД 2 заключается не в отношении зоны деятельности гарантирующего поставщика;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к. согласованный объем поставки по СДД 2: 73 010 784 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МВт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.ч</w:t>
            </w:r>
            <w:proofErr w:type="spellEnd"/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; плановый почасовой объем электрической энергии, подлежащей поставке в каждый час суток расчётного периода равен 833 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МВтч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л. порядок определения почасового объёма поставки: Корректировка зарегистрированного графика поставки в порядке, определённом в «Регламенте регистрации и учёта двусторонних договоров (Коммерческому оператору выдаётся поручение на корректировку);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м. тип сокращения: по Покупателю;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н. порядок подачи уведомления об установлении и/или изменении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приоритета корректировки почасового графика поставки/учёта почасового графика поставки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в плановом почасовом объёме производства/потребления: по обоюдному согласию Сторон;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о. согласие Сторон на модификацию графиков поставки электроэнергии Коммерческим оператором: да;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п. по СДД 2 финансовые гарантии не предоставляются;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р. поручение Коммерческому оператору в отношении предоставляемых отчётов: без дополнительной информации, указанной в п. 9.1.2 Регламента свободных двусторонних договоров.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3.3.Обязательства Сторон по СДЭМ 2, связанные с куплей-продажей  электрической энергии и мощности в период с 00-00 ч. 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мск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 xml:space="preserve">. 01.01.2017 по 24-00 ч. 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мск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. 31.12.2018, прекращаются в момент, когда Коммерческим оператором будет зарегистрирован почасовой (-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ые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 xml:space="preserve">) график (-и)  поставки электроэнергии на период с 01.01.2017 по 31.12.2018 по СДД 2, указанному в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п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3.2 настоящего решения.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3.4.Если, как указано в п.3.3 настоящего решения, Коммерческим оператором будет зарегистрирован почасовой (-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ые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 xml:space="preserve">) график (-и)  поставки электрической энергии на период с </w:t>
            </w:r>
            <w:r w:rsidRPr="00A73089">
              <w:rPr>
                <w:b/>
                <w:bCs/>
                <w:i/>
                <w:sz w:val="22"/>
                <w:szCs w:val="22"/>
              </w:rPr>
              <w:lastRenderedPageBreak/>
              <w:t>01.01.2017 по 31.12.2018 по СДД, указанному в п.2 настоящего решения, то Стороны СДЭМ 2 в течение 10 рабочих дней, но не менее чем за 2 рабочих дня до начала месяца, в котором учёт СДЭМ 2 должен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быть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прекращён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, подают Коммерческому оператору заявление на прекращение учёта СДЭМ 2.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 xml:space="preserve">В случае прекращения Коммерческим оператором учёта СДЭМ 2, произошедшего на основании заявления Сторон СДЭМ 2, указанного в настоящем пункте, срок действия СДЭМ 2прекращается в 00-00 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мск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. 01.01.2017, при этом, все неисполненные обязательства Сторон, возникшие до</w:t>
            </w:r>
            <w:r w:rsidRPr="00A73089">
              <w:rPr>
                <w:b/>
                <w:bCs/>
                <w:i/>
                <w:iCs/>
                <w:sz w:val="22"/>
                <w:szCs w:val="22"/>
              </w:rPr>
              <w:t xml:space="preserve">  00-00 </w:t>
            </w:r>
            <w:proofErr w:type="spellStart"/>
            <w:r w:rsidRPr="00A73089">
              <w:rPr>
                <w:b/>
                <w:bCs/>
                <w:i/>
                <w:iCs/>
                <w:sz w:val="22"/>
                <w:szCs w:val="22"/>
              </w:rPr>
              <w:t>мск</w:t>
            </w:r>
            <w:proofErr w:type="spellEnd"/>
            <w:r w:rsidRPr="00A73089">
              <w:rPr>
                <w:b/>
                <w:bCs/>
                <w:i/>
                <w:iCs/>
                <w:sz w:val="22"/>
                <w:szCs w:val="22"/>
              </w:rPr>
              <w:t>. 01.01.2017 (финансовые обязательства, обязательства вследствие нарушения условий</w:t>
            </w:r>
            <w:r w:rsidRPr="00A73089">
              <w:rPr>
                <w:b/>
                <w:bCs/>
                <w:i/>
                <w:sz w:val="22"/>
                <w:szCs w:val="22"/>
              </w:rPr>
              <w:t xml:space="preserve"> СДЭМ 2</w:t>
            </w:r>
            <w:r w:rsidRPr="00A73089">
              <w:rPr>
                <w:b/>
                <w:bCs/>
                <w:i/>
                <w:iCs/>
                <w:sz w:val="22"/>
                <w:szCs w:val="22"/>
              </w:rPr>
              <w:t>), подлежат выполнению на условиях</w:t>
            </w:r>
            <w:r w:rsidRPr="00A73089">
              <w:rPr>
                <w:b/>
                <w:bCs/>
                <w:i/>
                <w:sz w:val="22"/>
                <w:szCs w:val="22"/>
              </w:rPr>
              <w:t xml:space="preserve"> СДЭМ 2. </w:t>
            </w:r>
            <w:proofErr w:type="gramEnd"/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iCs/>
                <w:sz w:val="22"/>
                <w:szCs w:val="22"/>
              </w:rPr>
              <w:t>4.</w:t>
            </w:r>
            <w:r w:rsidRPr="00A73089">
              <w:rPr>
                <w:b/>
                <w:bCs/>
                <w:i/>
                <w:sz w:val="22"/>
                <w:szCs w:val="22"/>
              </w:rPr>
              <w:t>Свободный двусторонний договор купли – продажи электрической энергии между ОАО «РУСАЛ Братск»  (Покупатель) и ПАО «Иркутскэнерго» (Продавец),  далее – Договор 2, на следующих основных условиях: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4.1. Договор 2 является свободным двусторонним договором купли-продажи электрической энергии, заключаемым на оптовом рынке электроэнергии и мощности в соответствии с Правилами оптового рынка, Договором о присоединении и регламентами оптового рынка, являющимися приложениями к Договору о присоединении. 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4.2.</w:t>
            </w:r>
            <w:r w:rsidRPr="00A73089">
              <w:rPr>
                <w:b/>
                <w:bCs/>
                <w:i/>
                <w:sz w:val="22"/>
                <w:szCs w:val="22"/>
              </w:rPr>
              <w:tab/>
              <w:t>Продавец обязуется поставлять (передавать в собственность) Покупателю электрическую энергию в сроки, в объемах (количестве) и на условиях, определенных Договором 2, а Покупатель обязуется принимать и оплачивать электрическую энергию.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4.3.Поставка электрической энергии по Договору 2 осуществляется в период с 00-00 ч. 01.01.2017 г. (дата начала поставки электроэнергии) по 24-00 ч. 31.12.2026 г. (дата окончания поставки электроэнергии), но не ранее дня, следующего за днем регистрации в Акционерном обществе «Администратор торговой системы оптового рынка электроэнергии» (далее – «Коммерческий оператор») Договора 2, а также почасового (-ых) графика (-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ов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) поставки электрической энергии во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исполнение Договора 2. 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4.4.Договор  2 заключен в отношении группы точек поставки Покупателя (далее - ГТП Покупателя), группы точек поставки Продавца (далее - ГТП Продавца), относящихся к ценовой зоне оптового рынка, указанных в подп. 5),6), 7) п.4.6 настоящего решения.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4.5.Электрическая энергия передается Продавцом Покупателю в группе точек поставки Договора 2, указанной в подп. 7) п.4.6 настоящего решения.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4.6.В дополнение к п.4.2. настоящего решения Стороны согласовывают условия поставки по Договору 2, информацию для регистрации условий Договора 2 в соответствии с Регламентом регистрации и учета свободных двусторонних договоров купли-продажи электрической энергии (Приложение № 6.1. к Договору о присоединении), далее – «Регламент свободных двусторонних договоров», и условия поручений по Договору 2, передаваемых Сторонами Коммерческому оператору, подлежащие включению в заявление на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регистрацию Договора 2 и/или в уведомление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 (-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>я) о регистрации почасового (-ых) графика (-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ов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) поставки по Договору 2: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наименование и идентификационный код участника оптового рынка - Продавца по Договору 2: ПАО «Иркутскэнерго»,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IRKUTENE</w:t>
            </w:r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наименование и идентификационный код участника оптового рынка - Покупателя по Договору 2: ОАО «РУСАЛ Братск»;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RUSALBAZ</w:t>
            </w:r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дата начала поставки по Договору 2: 00-00 ч. 01.01.2017 г. по московскому времени;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дата окончания поставки по Договору 2: 24-00 ч. 31.12.2026 г.  по московскому времени;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ГТП Продавца: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GIRKEN0</w:t>
            </w:r>
            <w:r w:rsidRPr="00A73089">
              <w:rPr>
                <w:b/>
                <w:bCs/>
                <w:i/>
                <w:sz w:val="22"/>
                <w:szCs w:val="22"/>
              </w:rPr>
              <w:t>4;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ГТП Покупателя: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PSUALIAZ</w:t>
            </w:r>
            <w:r w:rsidRPr="00A73089">
              <w:rPr>
                <w:b/>
                <w:bCs/>
                <w:i/>
                <w:sz w:val="22"/>
                <w:szCs w:val="22"/>
              </w:rPr>
              <w:t>;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ГТП Договора 2: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GIRKEN</w:t>
            </w:r>
            <w:r w:rsidRPr="00A73089">
              <w:rPr>
                <w:b/>
                <w:bCs/>
                <w:i/>
                <w:sz w:val="22"/>
                <w:szCs w:val="22"/>
              </w:rPr>
              <w:t>04;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порядок приостановки учёта Договора 2: по обоюдному согласию Сторон;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Договор 2 заключён не в отношении зоны деятельности гарантирующего поставщика;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согласованный объем поставки по Договору 2: 73 010 784 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МВт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.ч</w:t>
            </w:r>
            <w:proofErr w:type="spellEnd"/>
            <w:proofErr w:type="gramEnd"/>
            <w:r w:rsidRPr="00A73089" w:rsidDel="001A0FAA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73089">
              <w:rPr>
                <w:b/>
                <w:bCs/>
                <w:i/>
                <w:sz w:val="22"/>
                <w:szCs w:val="22"/>
              </w:rPr>
              <w:t xml:space="preserve">; 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порядок определения почасового объёма поставки: Корректировка зарегистрированного графика поставки в порядке, определенном в «Регламенте регистрации и учета двусторонних договоров (Коммерческому оператору выдается поручение на корректировку);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тип сокращения: по Покупателю;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порядок подачи уведомления об установлении и/или изменении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приоритета корректировки почасового графика поставки/учета почасового графика поставки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в </w:t>
            </w:r>
            <w:r w:rsidRPr="00A73089">
              <w:rPr>
                <w:b/>
                <w:bCs/>
                <w:i/>
                <w:sz w:val="22"/>
                <w:szCs w:val="22"/>
              </w:rPr>
              <w:lastRenderedPageBreak/>
              <w:t>плановом почасовом объеме производства/потребления: по обоюдному согласию Сторон;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согласие Сторон на модификацию графиков поставки электроэнергии Коммерческим оператором: да;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по Договору 2 финансовые гарантии не предоставляются;</w:t>
            </w:r>
          </w:p>
          <w:p w:rsidR="00640EAF" w:rsidRPr="00A73089" w:rsidRDefault="00640EAF" w:rsidP="00640EAF">
            <w:pPr>
              <w:numPr>
                <w:ilvl w:val="0"/>
                <w:numId w:val="20"/>
              </w:numPr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поручение Коммерческому оператору в отношении предоставляемых отчётов: без дополнительной информации, указанной в п. 9.1.2 Регламента свободных двусторонних договоров.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После регистрации Договора 2 Коммерческим оператором в соответствии с условиями, определёнными в п. 4.6 настоящего решения, Стороны дают поручение Коммерческому оператору о корректировке объёмов поставки электрической энергии по Договору 2 с учётом наивысшего совокупного приоритета. Стороны гарантируют, что значение приоритета, установленное в отношении графиков поставки по Договору 2, является максимальным из возможных значений.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4.7. Право собственности на электрическую энергию переходит от Продавца к Покупателю в ГТП Договора 2, указанной Сторонами в подп. 7) п. 4.6  настоящего решения.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4.8.Продавец не вправе сокращать количество электрической энергии, подлежащее поставке по Договору 2, определённое в п. 4.10 настоящего решения  и Приложении № 4 к настоящему решению.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4.9.Договорный объем (количество) электрической энергии, подлежащей передаче (поставке) по Договору 2  в каждый месяц в течение периода поставки, определен в Приложении № 4 к настоящему решению.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4.10. Плановый почасовой объем электрической энергии, подлежащей поставке по Договору 2 в каждый час суток расчетного периода, равен 833 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</w:rPr>
              <w:t>МВтч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4.11.Фактические объемы электрической энергии, переданные (поставленные) за соответствующий расчетный период Продавцом Покупателю по Договору 2, определяются Коммерческим оператором с учётом предоставленных Сторонами почасовых графиков поставки электрической энергии и регистрационной информации, согласованной Сторонами в Договоре 2, в отчетах, представляемых Сторонам в соответствии с Правилами оптового рынка, Договором о присоединении и Регламентами оптового рынка.</w:t>
            </w:r>
            <w:proofErr w:type="gramEnd"/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4.12.Порядок определения стоимости электроэнергии по Договору 2, установлен в Приложении № 3 и 3.1 к настоящему решению.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4.13.В случае изменения Ассоциацией «НП Совет рынка» Договора о присоединении, регламентов оптового рынка, при исполнении обязательств, принятых по Договору 2, Стороны будут руководствоваться положениями действующей (последней) редакции Договора 2 о присоединении, соответствующего регламента оптового рынка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с даты вступления</w:t>
            </w:r>
            <w:proofErr w:type="gramEnd"/>
            <w:r w:rsidRPr="00A73089">
              <w:rPr>
                <w:b/>
                <w:bCs/>
                <w:i/>
                <w:sz w:val="22"/>
                <w:szCs w:val="22"/>
              </w:rPr>
              <w:t xml:space="preserve"> ее в силу.</w:t>
            </w:r>
          </w:p>
          <w:p w:rsidR="00640EAF" w:rsidRPr="00A73089" w:rsidRDefault="00640EAF" w:rsidP="00640EAF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4.14.Для целей настоящего решения и Договора  2 используются понятия, соответствующие определениям, установленным Правилами оптового рынка, Договором о присоединении и Перечнем определений и принятых сокращений, являющимся приложением к Договору о присоединении.</w:t>
            </w:r>
          </w:p>
          <w:p w:rsidR="00640EAF" w:rsidRPr="00A73089" w:rsidRDefault="00640EAF" w:rsidP="00034D1A">
            <w:pPr>
              <w:ind w:left="142" w:right="85"/>
              <w:rPr>
                <w:b/>
                <w:i/>
                <w:sz w:val="22"/>
                <w:szCs w:val="22"/>
                <w:u w:val="single"/>
              </w:rPr>
            </w:pPr>
          </w:p>
          <w:p w:rsidR="00034D1A" w:rsidRPr="00A73089" w:rsidRDefault="00034D1A" w:rsidP="00034D1A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A73089">
              <w:rPr>
                <w:b/>
                <w:i/>
                <w:sz w:val="22"/>
                <w:szCs w:val="22"/>
                <w:u w:val="single"/>
              </w:rPr>
              <w:t>Принятое решение по вопросу повестки дня №2</w:t>
            </w:r>
            <w:r w:rsidRPr="00A73089">
              <w:rPr>
                <w:b/>
                <w:i/>
                <w:sz w:val="22"/>
                <w:szCs w:val="22"/>
              </w:rPr>
              <w:t>:</w:t>
            </w:r>
          </w:p>
          <w:p w:rsidR="007D754B" w:rsidRPr="00A73089" w:rsidRDefault="007D754B" w:rsidP="007D754B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В соответствии с пп.18 п. 12.2 ст.12 Устава ОАО «РУСАЛ Братск», одобрить заключение  дополнительного соглашения № 8 к контракту  №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RS</w:t>
            </w:r>
            <w:r w:rsidRPr="00A73089">
              <w:rPr>
                <w:b/>
                <w:bCs/>
                <w:i/>
                <w:sz w:val="22"/>
                <w:szCs w:val="22"/>
              </w:rPr>
              <w:t>/</w:t>
            </w:r>
            <w:proofErr w:type="spellStart"/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BrAZ</w:t>
            </w:r>
            <w:proofErr w:type="spellEnd"/>
            <w:r w:rsidRPr="00A73089">
              <w:rPr>
                <w:b/>
                <w:bCs/>
                <w:i/>
                <w:sz w:val="22"/>
                <w:szCs w:val="22"/>
              </w:rPr>
              <w:t>-2015 от 20.12.2014 г. между  ОАО «РУСАЛ Братск» (Покупатель) и Фирмой «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RS</w:t>
            </w:r>
            <w:r w:rsidRPr="00A73089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International</w:t>
            </w:r>
            <w:r w:rsidRPr="00A73089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73089">
              <w:rPr>
                <w:b/>
                <w:bCs/>
                <w:i/>
                <w:sz w:val="22"/>
                <w:szCs w:val="22"/>
                <w:lang w:val="en-US"/>
              </w:rPr>
              <w:t>GmbH</w:t>
            </w:r>
            <w:r w:rsidRPr="00A73089">
              <w:rPr>
                <w:b/>
                <w:bCs/>
                <w:i/>
                <w:sz w:val="22"/>
                <w:szCs w:val="22"/>
              </w:rPr>
              <w:t>» (Продавец) на следующих основных условиях:</w:t>
            </w:r>
          </w:p>
          <w:p w:rsidR="007D754B" w:rsidRPr="00A73089" w:rsidRDefault="007D754B" w:rsidP="007D754B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1) Пункт 2.1. Статьи 2 «Условия поставки» Контракта изложить в следующей редакции:</w:t>
            </w:r>
          </w:p>
          <w:p w:rsidR="007D754B" w:rsidRPr="00A73089" w:rsidRDefault="007D754B" w:rsidP="007D754B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«2.1. Базис поставки: DDU - склад ОАО "РУСАЛ Братск" (термины трактуются в соответствии с редакцией ИНКОТЕРМС - 2000, в публикации Международной Торговой Палаты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A73089">
                <w:rPr>
                  <w:b/>
                  <w:bCs/>
                  <w:i/>
                  <w:sz w:val="22"/>
                  <w:szCs w:val="22"/>
                </w:rPr>
                <w:t>1999 г</w:t>
              </w:r>
            </w:smartTag>
            <w:r w:rsidRPr="00A73089">
              <w:rPr>
                <w:b/>
                <w:bCs/>
                <w:i/>
                <w:sz w:val="22"/>
                <w:szCs w:val="22"/>
              </w:rPr>
              <w:t xml:space="preserve">., № 560, далее по тексту – "ИНКОТЕРМС"). </w:t>
            </w:r>
          </w:p>
          <w:p w:rsidR="007D754B" w:rsidRPr="00A73089" w:rsidRDefault="007D754B" w:rsidP="007D754B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Поставка Товара по настоящему Контракту производится партиями до 31.12.2018г.»…далее по тексту.</w:t>
            </w:r>
          </w:p>
          <w:p w:rsidR="007D754B" w:rsidRPr="00A73089" w:rsidRDefault="007D754B" w:rsidP="007D754B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</w:p>
          <w:p w:rsidR="007D754B" w:rsidRPr="00A73089" w:rsidRDefault="007D754B" w:rsidP="007D754B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2) Пункт 9.1. Статьи 9 «Срок действия Контракта» изложить в следующей редакции:</w:t>
            </w:r>
          </w:p>
          <w:p w:rsidR="007D754B" w:rsidRPr="00A73089" w:rsidRDefault="007D754B" w:rsidP="007D754B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«9.1. Настоящий Контракт вступает в силу с момента его заключения (дата указана в верхнем правом углу на первой странице настоящего текста) и действует в части поставок Товара до 31.12.2018г., а в части взаиморасчетов до полного исполнения Сторонами обязательств по настоящему Контракту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.»</w:t>
            </w:r>
            <w:proofErr w:type="gramEnd"/>
          </w:p>
          <w:p w:rsidR="00640EAF" w:rsidRPr="00A73089" w:rsidRDefault="00640EAF" w:rsidP="00034D1A">
            <w:pPr>
              <w:ind w:left="142" w:right="85"/>
              <w:rPr>
                <w:b/>
                <w:i/>
                <w:sz w:val="22"/>
                <w:szCs w:val="22"/>
                <w:u w:val="single"/>
              </w:rPr>
            </w:pPr>
          </w:p>
          <w:p w:rsidR="00034D1A" w:rsidRPr="00A73089" w:rsidRDefault="00034D1A" w:rsidP="00034D1A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A73089">
              <w:rPr>
                <w:b/>
                <w:i/>
                <w:sz w:val="22"/>
                <w:szCs w:val="22"/>
                <w:u w:val="single"/>
              </w:rPr>
              <w:t>Принятое решение по вопросу повестки дня №3</w:t>
            </w:r>
            <w:r w:rsidRPr="00A73089">
              <w:rPr>
                <w:b/>
                <w:i/>
                <w:sz w:val="22"/>
                <w:szCs w:val="22"/>
              </w:rPr>
              <w:t>:</w:t>
            </w:r>
          </w:p>
          <w:p w:rsidR="007D754B" w:rsidRPr="00A73089" w:rsidRDefault="007D754B" w:rsidP="007D754B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 xml:space="preserve">В соответствии с пп.18 п. 12.2. ст.12  Устава ОАО «РУСАЛ Братск», одобрить заключение дополнительного соглашения №18 к Договору Переработки № БРп-3-11 от 21.02.2011г. между  ОАО </w:t>
            </w:r>
            <w:r w:rsidRPr="00A73089">
              <w:rPr>
                <w:b/>
                <w:bCs/>
                <w:i/>
                <w:sz w:val="22"/>
                <w:szCs w:val="22"/>
              </w:rPr>
              <w:lastRenderedPageBreak/>
              <w:t>«РУСАЛ Братск»  (Переработчик) и АО «РУСАЛ» (Заказчик) на следующих основных условиях:</w:t>
            </w:r>
          </w:p>
          <w:p w:rsidR="007D754B" w:rsidRPr="00A73089" w:rsidRDefault="007D754B" w:rsidP="007D754B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>Пункт 14.1. Статьи 14 «Вступление договора в силу, порядок его расторжения» Договора изменить и читать в следующей редакции:</w:t>
            </w:r>
          </w:p>
          <w:p w:rsidR="007D754B" w:rsidRPr="00A73089" w:rsidRDefault="007D754B" w:rsidP="007D754B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  <w:r w:rsidRPr="00A73089">
              <w:rPr>
                <w:b/>
                <w:bCs/>
                <w:i/>
                <w:sz w:val="22"/>
                <w:szCs w:val="22"/>
              </w:rPr>
              <w:tab/>
              <w:t xml:space="preserve">«14.1. </w:t>
            </w:r>
            <w:proofErr w:type="gramStart"/>
            <w:r w:rsidRPr="00A73089">
              <w:rPr>
                <w:b/>
                <w:bCs/>
                <w:i/>
                <w:sz w:val="22"/>
                <w:szCs w:val="22"/>
              </w:rPr>
              <w:t>Настоящий Договор вступает в силу с момента подписания и действует в части поставки Товара для переработки до 31.12.2017 года, а в части поставки Товарной продукции и взаиморасчетов, согласно условиям настоящего Договора, – до полного исполнении Сторонами взаимных договорных обязательств.»</w:t>
            </w:r>
            <w:proofErr w:type="gramEnd"/>
          </w:p>
          <w:p w:rsidR="008D5C1D" w:rsidRPr="00A73089" w:rsidRDefault="008D5C1D" w:rsidP="00952D39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A73089">
              <w:rPr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615E3D" w:rsidRPr="00A73089">
              <w:rPr>
                <w:b/>
                <w:i/>
                <w:sz w:val="22"/>
                <w:szCs w:val="22"/>
              </w:rPr>
              <w:t xml:space="preserve"> </w:t>
            </w:r>
            <w:r w:rsidR="007D754B" w:rsidRPr="00A73089">
              <w:rPr>
                <w:b/>
                <w:i/>
                <w:sz w:val="22"/>
                <w:szCs w:val="22"/>
              </w:rPr>
              <w:t>28</w:t>
            </w:r>
            <w:r w:rsidR="000C6CC0" w:rsidRPr="00A73089">
              <w:rPr>
                <w:b/>
                <w:i/>
                <w:sz w:val="22"/>
                <w:szCs w:val="22"/>
              </w:rPr>
              <w:t xml:space="preserve"> </w:t>
            </w:r>
            <w:r w:rsidR="007D754B" w:rsidRPr="00A73089">
              <w:rPr>
                <w:b/>
                <w:i/>
                <w:sz w:val="22"/>
                <w:szCs w:val="22"/>
              </w:rPr>
              <w:t>октября</w:t>
            </w:r>
            <w:r w:rsidR="00B24109" w:rsidRPr="00A73089">
              <w:rPr>
                <w:b/>
                <w:i/>
                <w:sz w:val="22"/>
                <w:szCs w:val="22"/>
              </w:rPr>
              <w:t xml:space="preserve"> </w:t>
            </w:r>
            <w:r w:rsidRPr="00A73089">
              <w:rPr>
                <w:b/>
                <w:i/>
                <w:sz w:val="22"/>
                <w:szCs w:val="22"/>
              </w:rPr>
              <w:t>201</w:t>
            </w:r>
            <w:r w:rsidR="005F0379" w:rsidRPr="00A73089">
              <w:rPr>
                <w:b/>
                <w:i/>
                <w:sz w:val="22"/>
                <w:szCs w:val="22"/>
              </w:rPr>
              <w:t>6</w:t>
            </w:r>
            <w:r w:rsidRPr="00A73089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A73089" w:rsidRDefault="008D5C1D" w:rsidP="007D754B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A73089">
              <w:rPr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 w:rsidRPr="00A73089">
              <w:rPr>
                <w:b/>
                <w:i/>
                <w:sz w:val="22"/>
                <w:szCs w:val="22"/>
              </w:rPr>
              <w:t xml:space="preserve"> </w:t>
            </w:r>
            <w:r w:rsidR="007D754B" w:rsidRPr="00A73089">
              <w:rPr>
                <w:b/>
                <w:i/>
                <w:sz w:val="22"/>
                <w:szCs w:val="22"/>
              </w:rPr>
              <w:t>28 октября 2016 года</w:t>
            </w:r>
            <w:r w:rsidRPr="00A73089">
              <w:rPr>
                <w:b/>
                <w:i/>
                <w:sz w:val="22"/>
                <w:szCs w:val="22"/>
              </w:rPr>
              <w:t>, №</w:t>
            </w:r>
            <w:r w:rsidR="00D32B1C" w:rsidRPr="00A73089">
              <w:rPr>
                <w:b/>
                <w:i/>
                <w:sz w:val="22"/>
                <w:szCs w:val="22"/>
              </w:rPr>
              <w:t xml:space="preserve"> </w:t>
            </w:r>
            <w:r w:rsidR="00034D1A" w:rsidRPr="00A73089">
              <w:rPr>
                <w:b/>
                <w:i/>
                <w:sz w:val="22"/>
                <w:szCs w:val="22"/>
              </w:rPr>
              <w:t>6</w:t>
            </w:r>
            <w:r w:rsidR="007D754B" w:rsidRPr="00A73089">
              <w:rPr>
                <w:b/>
                <w:i/>
                <w:sz w:val="22"/>
                <w:szCs w:val="22"/>
              </w:rPr>
              <w:t>7</w:t>
            </w:r>
            <w:r w:rsidRPr="00A73089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C40AE7" w:rsidRPr="00A73089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A73089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033018" w:rsidRPr="00A73089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708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A73089" w:rsidTr="00E01860">
        <w:trPr>
          <w:cantSplit/>
          <w:trHeight w:val="284"/>
        </w:trPr>
        <w:tc>
          <w:tcPr>
            <w:tcW w:w="10059" w:type="dxa"/>
            <w:gridSpan w:val="10"/>
            <w:vAlign w:val="center"/>
          </w:tcPr>
          <w:p w:rsidR="004E0BF4" w:rsidRPr="00A73089" w:rsidRDefault="004E0BF4" w:rsidP="00486841">
            <w:pPr>
              <w:jc w:val="center"/>
              <w:rPr>
                <w:sz w:val="22"/>
                <w:szCs w:val="22"/>
              </w:rPr>
            </w:pPr>
            <w:r w:rsidRPr="00A73089">
              <w:rPr>
                <w:sz w:val="22"/>
                <w:szCs w:val="22"/>
              </w:rPr>
              <w:t>3. Подпись</w:t>
            </w:r>
          </w:p>
        </w:tc>
      </w:tr>
      <w:tr w:rsidR="004E0BF4" w:rsidRPr="00A73089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73089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A73089" w:rsidRDefault="004E0BF4" w:rsidP="00486841">
            <w:pPr>
              <w:widowControl w:val="0"/>
              <w:rPr>
                <w:sz w:val="22"/>
                <w:szCs w:val="22"/>
              </w:rPr>
            </w:pPr>
            <w:r w:rsidRPr="00A73089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A73089" w:rsidRDefault="004E0BF4" w:rsidP="00486841">
            <w:pPr>
              <w:ind w:left="57"/>
              <w:rPr>
                <w:sz w:val="22"/>
                <w:szCs w:val="22"/>
              </w:rPr>
            </w:pPr>
            <w:r w:rsidRPr="00A73089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73089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A7308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7308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73089" w:rsidRDefault="00747DCD" w:rsidP="00486841">
            <w:pPr>
              <w:jc w:val="center"/>
              <w:rPr>
                <w:sz w:val="22"/>
                <w:szCs w:val="22"/>
              </w:rPr>
            </w:pPr>
            <w:r w:rsidRPr="00A73089">
              <w:rPr>
                <w:sz w:val="22"/>
                <w:szCs w:val="22"/>
              </w:rPr>
              <w:t>Е.Ю. Зенкин</w:t>
            </w:r>
          </w:p>
        </w:tc>
      </w:tr>
      <w:tr w:rsidR="004E0BF4" w:rsidRPr="00A73089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7308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A73089" w:rsidRDefault="004E0BF4" w:rsidP="00486841">
            <w:pPr>
              <w:jc w:val="center"/>
              <w:rPr>
                <w:sz w:val="22"/>
                <w:szCs w:val="22"/>
              </w:rPr>
            </w:pPr>
            <w:r w:rsidRPr="00A73089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7308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7308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A73089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7308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A73089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A73089">
              <w:rPr>
                <w:sz w:val="22"/>
                <w:szCs w:val="22"/>
              </w:rPr>
              <w:t>3.2. Дата</w:t>
            </w:r>
            <w:r w:rsidRPr="00A73089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73089" w:rsidRDefault="007D754B" w:rsidP="00034D1A">
            <w:pPr>
              <w:jc w:val="center"/>
              <w:rPr>
                <w:sz w:val="22"/>
                <w:szCs w:val="22"/>
              </w:rPr>
            </w:pPr>
            <w:r w:rsidRPr="00A73089">
              <w:rPr>
                <w:sz w:val="22"/>
                <w:szCs w:val="22"/>
              </w:rPr>
              <w:t>28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73089" w:rsidRDefault="004E0BF4" w:rsidP="00486841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73089" w:rsidRDefault="00C13AAB" w:rsidP="007E2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  <w:bookmarkStart w:id="5" w:name="_GoBack"/>
            <w:bookmarkEnd w:id="5"/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73089" w:rsidRDefault="00450941" w:rsidP="00450941">
            <w:pPr>
              <w:rPr>
                <w:sz w:val="22"/>
                <w:szCs w:val="22"/>
              </w:rPr>
            </w:pPr>
            <w:r w:rsidRPr="00A73089">
              <w:rPr>
                <w:sz w:val="22"/>
                <w:szCs w:val="22"/>
              </w:rPr>
              <w:t xml:space="preserve">   </w:t>
            </w:r>
            <w:r w:rsidR="004E0BF4" w:rsidRPr="00A73089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73089" w:rsidRDefault="004E0BF4" w:rsidP="005F0379">
            <w:pPr>
              <w:rPr>
                <w:sz w:val="22"/>
                <w:szCs w:val="22"/>
              </w:rPr>
            </w:pPr>
            <w:r w:rsidRPr="00A73089">
              <w:rPr>
                <w:sz w:val="22"/>
                <w:szCs w:val="22"/>
              </w:rPr>
              <w:t>1</w:t>
            </w:r>
            <w:r w:rsidR="005F0379" w:rsidRPr="00A73089">
              <w:rPr>
                <w:sz w:val="22"/>
                <w:szCs w:val="22"/>
              </w:rPr>
              <w:t>6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9E67E7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A73089">
              <w:rPr>
                <w:sz w:val="22"/>
                <w:szCs w:val="22"/>
              </w:rPr>
              <w:t xml:space="preserve"> г.</w:t>
            </w:r>
            <w:r w:rsidRPr="00A73089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altName w:val="Tahoma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477D3BB6"/>
    <w:multiLevelType w:val="hybridMultilevel"/>
    <w:tmpl w:val="F6CA650E"/>
    <w:lvl w:ilvl="0" w:tplc="C03C645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F11A2A"/>
    <w:multiLevelType w:val="hybridMultilevel"/>
    <w:tmpl w:val="D890BDE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68FD12A5"/>
    <w:multiLevelType w:val="hybridMultilevel"/>
    <w:tmpl w:val="D890BDE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  <w:num w:numId="14">
    <w:abstractNumId w:val="8"/>
  </w:num>
  <w:num w:numId="15">
    <w:abstractNumId w:val="20"/>
  </w:num>
  <w:num w:numId="16">
    <w:abstractNumId w:val="18"/>
  </w:num>
  <w:num w:numId="17">
    <w:abstractNumId w:val="3"/>
  </w:num>
  <w:num w:numId="18">
    <w:abstractNumId w:val="17"/>
  </w:num>
  <w:num w:numId="19">
    <w:abstractNumId w:val="14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3018"/>
    <w:rsid w:val="00034D1A"/>
    <w:rsid w:val="0005626E"/>
    <w:rsid w:val="00061A93"/>
    <w:rsid w:val="00084B81"/>
    <w:rsid w:val="000942B5"/>
    <w:rsid w:val="000C6CC0"/>
    <w:rsid w:val="000F6BDC"/>
    <w:rsid w:val="00104C95"/>
    <w:rsid w:val="00130D52"/>
    <w:rsid w:val="00145438"/>
    <w:rsid w:val="001500E9"/>
    <w:rsid w:val="00181236"/>
    <w:rsid w:val="00193CC3"/>
    <w:rsid w:val="00195C7D"/>
    <w:rsid w:val="001B206A"/>
    <w:rsid w:val="0023683F"/>
    <w:rsid w:val="00275F9D"/>
    <w:rsid w:val="002A4E0A"/>
    <w:rsid w:val="002F0F94"/>
    <w:rsid w:val="00347796"/>
    <w:rsid w:val="00375102"/>
    <w:rsid w:val="003B46DE"/>
    <w:rsid w:val="003F4F2F"/>
    <w:rsid w:val="00430948"/>
    <w:rsid w:val="00450941"/>
    <w:rsid w:val="00465F27"/>
    <w:rsid w:val="004832E2"/>
    <w:rsid w:val="004E0BF4"/>
    <w:rsid w:val="004E0C86"/>
    <w:rsid w:val="004E3A40"/>
    <w:rsid w:val="00503CB8"/>
    <w:rsid w:val="005549E2"/>
    <w:rsid w:val="0056171D"/>
    <w:rsid w:val="0058452A"/>
    <w:rsid w:val="005B7370"/>
    <w:rsid w:val="005D1F22"/>
    <w:rsid w:val="005F0379"/>
    <w:rsid w:val="00615E3D"/>
    <w:rsid w:val="00620D81"/>
    <w:rsid w:val="00640EAF"/>
    <w:rsid w:val="00647FB2"/>
    <w:rsid w:val="006730BE"/>
    <w:rsid w:val="00674CFA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D58C7"/>
    <w:rsid w:val="007D754B"/>
    <w:rsid w:val="007E0316"/>
    <w:rsid w:val="007E2DD8"/>
    <w:rsid w:val="00816E9D"/>
    <w:rsid w:val="00817AE4"/>
    <w:rsid w:val="008420C6"/>
    <w:rsid w:val="008451FA"/>
    <w:rsid w:val="008D5028"/>
    <w:rsid w:val="008D5C1D"/>
    <w:rsid w:val="0090084F"/>
    <w:rsid w:val="00912972"/>
    <w:rsid w:val="00945EC1"/>
    <w:rsid w:val="00946036"/>
    <w:rsid w:val="00952D39"/>
    <w:rsid w:val="009614D7"/>
    <w:rsid w:val="009772F4"/>
    <w:rsid w:val="009832F5"/>
    <w:rsid w:val="009856EE"/>
    <w:rsid w:val="009D0613"/>
    <w:rsid w:val="009D3415"/>
    <w:rsid w:val="009E67E7"/>
    <w:rsid w:val="00A07342"/>
    <w:rsid w:val="00A51B1E"/>
    <w:rsid w:val="00A65681"/>
    <w:rsid w:val="00A73089"/>
    <w:rsid w:val="00A907D1"/>
    <w:rsid w:val="00A91469"/>
    <w:rsid w:val="00B17FDB"/>
    <w:rsid w:val="00B24109"/>
    <w:rsid w:val="00B37E84"/>
    <w:rsid w:val="00B564CE"/>
    <w:rsid w:val="00BD24A2"/>
    <w:rsid w:val="00BF1CCE"/>
    <w:rsid w:val="00C13AAB"/>
    <w:rsid w:val="00C40AE7"/>
    <w:rsid w:val="00C44C3E"/>
    <w:rsid w:val="00C83E51"/>
    <w:rsid w:val="00CA072A"/>
    <w:rsid w:val="00CE5F65"/>
    <w:rsid w:val="00CE7602"/>
    <w:rsid w:val="00D021EE"/>
    <w:rsid w:val="00D32B1C"/>
    <w:rsid w:val="00D528D9"/>
    <w:rsid w:val="00DC58AA"/>
    <w:rsid w:val="00DE5DD5"/>
    <w:rsid w:val="00E01860"/>
    <w:rsid w:val="00E72D62"/>
    <w:rsid w:val="00E87DFA"/>
    <w:rsid w:val="00EA28F2"/>
    <w:rsid w:val="00EC265A"/>
    <w:rsid w:val="00EC5E98"/>
    <w:rsid w:val="00EF1956"/>
    <w:rsid w:val="00F025CF"/>
    <w:rsid w:val="00F061F3"/>
    <w:rsid w:val="00F253F6"/>
    <w:rsid w:val="00F57471"/>
    <w:rsid w:val="00F645CC"/>
    <w:rsid w:val="00F7668B"/>
    <w:rsid w:val="00F807DB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customStyle="1" w:styleId="ConsPlusNonformat">
    <w:name w:val="ConsPlusNonformat"/>
    <w:uiPriority w:val="99"/>
    <w:rsid w:val="007D75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7D754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customStyle="1" w:styleId="ConsPlusNonformat">
    <w:name w:val="ConsPlusNonformat"/>
    <w:uiPriority w:val="99"/>
    <w:rsid w:val="007D75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7D754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FF3A-78D7-4338-8006-067531E8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3758</Words>
  <Characters>21424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3</cp:revision>
  <cp:lastPrinted>2014-07-31T23:43:00Z</cp:lastPrinted>
  <dcterms:created xsi:type="dcterms:W3CDTF">2016-10-31T02:29:00Z</dcterms:created>
  <dcterms:modified xsi:type="dcterms:W3CDTF">2016-10-31T05:52:00Z</dcterms:modified>
</cp:coreProperties>
</file>