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00" w:rsidRPr="0061628B" w:rsidRDefault="00F82F00" w:rsidP="0025704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1628B">
        <w:rPr>
          <w:b/>
          <w:sz w:val="22"/>
          <w:szCs w:val="22"/>
        </w:rPr>
        <w:t xml:space="preserve">Сообщение </w:t>
      </w:r>
      <w:r w:rsidR="00D82418" w:rsidRPr="0061628B">
        <w:rPr>
          <w:b/>
          <w:sz w:val="22"/>
          <w:szCs w:val="22"/>
        </w:rPr>
        <w:t xml:space="preserve">о существенном факте </w:t>
      </w:r>
    </w:p>
    <w:p w:rsidR="00D37032" w:rsidRPr="0061628B" w:rsidRDefault="00D82418" w:rsidP="0025704A">
      <w:pPr>
        <w:jc w:val="center"/>
        <w:rPr>
          <w:b/>
          <w:sz w:val="22"/>
          <w:szCs w:val="22"/>
        </w:rPr>
      </w:pPr>
      <w:r w:rsidRPr="0061628B">
        <w:rPr>
          <w:b/>
          <w:sz w:val="22"/>
          <w:szCs w:val="22"/>
        </w:rPr>
        <w:t xml:space="preserve">о </w:t>
      </w:r>
      <w:r w:rsidR="00D37032" w:rsidRPr="0061628B">
        <w:rPr>
          <w:b/>
          <w:sz w:val="22"/>
          <w:szCs w:val="22"/>
        </w:rPr>
        <w:t xml:space="preserve">совершении эмитентом или лицом, предоставившим </w:t>
      </w:r>
    </w:p>
    <w:p w:rsidR="00D82418" w:rsidRPr="0061628B" w:rsidRDefault="00D37032" w:rsidP="0025704A">
      <w:pPr>
        <w:jc w:val="center"/>
        <w:rPr>
          <w:b/>
          <w:sz w:val="22"/>
          <w:szCs w:val="22"/>
        </w:rPr>
      </w:pPr>
      <w:r w:rsidRPr="0061628B">
        <w:rPr>
          <w:b/>
          <w:sz w:val="22"/>
          <w:szCs w:val="22"/>
        </w:rPr>
        <w:t>обеспечение по облигациям эмитента, существенной сделки</w:t>
      </w:r>
      <w:r w:rsidR="00876F0F">
        <w:rPr>
          <w:b/>
          <w:sz w:val="22"/>
          <w:szCs w:val="22"/>
        </w:rPr>
        <w:t xml:space="preserve">, </w:t>
      </w:r>
      <w:r w:rsidR="00876F0F" w:rsidRPr="000E34E3">
        <w:rPr>
          <w:b/>
          <w:color w:val="000000"/>
          <w:sz w:val="22"/>
        </w:rPr>
        <w:t>в совершении которой имеется заинтересованность</w:t>
      </w:r>
    </w:p>
    <w:p w:rsidR="00F82F00" w:rsidRPr="0061628B" w:rsidRDefault="00F82F00" w:rsidP="0025704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F82F00" w:rsidRPr="0061628B" w:rsidTr="00E47166">
        <w:trPr>
          <w:cantSplit/>
        </w:trPr>
        <w:tc>
          <w:tcPr>
            <w:tcW w:w="10376" w:type="dxa"/>
            <w:gridSpan w:val="2"/>
          </w:tcPr>
          <w:p w:rsidR="00F82F00" w:rsidRPr="0061628B" w:rsidRDefault="00F82F00">
            <w:pPr>
              <w:jc w:val="center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 Общие сведения</w:t>
            </w:r>
          </w:p>
        </w:tc>
      </w:tr>
      <w:tr w:rsidR="00BC5007" w:rsidRPr="0061628B" w:rsidTr="00E47166">
        <w:tc>
          <w:tcPr>
            <w:tcW w:w="4975" w:type="dxa"/>
          </w:tcPr>
          <w:p w:rsidR="00BC5007" w:rsidRPr="0061628B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</w:tcPr>
          <w:p w:rsidR="00BC5007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BC5007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BC5007" w:rsidRPr="0061628B" w:rsidTr="00E47166">
        <w:tc>
          <w:tcPr>
            <w:tcW w:w="4975" w:type="dxa"/>
          </w:tcPr>
          <w:p w:rsidR="00BC5007" w:rsidRPr="0061628B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</w:tcPr>
          <w:p w:rsidR="00BC5007" w:rsidRPr="0061628B" w:rsidRDefault="00BC5007" w:rsidP="00B55D6B">
            <w:pPr>
              <w:keepNext/>
              <w:spacing w:before="24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>ОАО «РУСАЛ Братск»</w:t>
            </w:r>
          </w:p>
        </w:tc>
      </w:tr>
      <w:tr w:rsidR="00BC5007" w:rsidRPr="0061628B" w:rsidTr="00E47166">
        <w:tc>
          <w:tcPr>
            <w:tcW w:w="4975" w:type="dxa"/>
          </w:tcPr>
          <w:p w:rsidR="00BC5007" w:rsidRPr="0061628B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401" w:type="dxa"/>
          </w:tcPr>
          <w:p w:rsidR="00B86548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 xml:space="preserve">665716, Российская Федерация, Иркутская область, </w:t>
            </w:r>
          </w:p>
          <w:p w:rsidR="00BC5007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>г. Братск</w:t>
            </w:r>
          </w:p>
        </w:tc>
      </w:tr>
      <w:tr w:rsidR="00BC5007" w:rsidRPr="0061628B" w:rsidTr="00E47166">
        <w:tc>
          <w:tcPr>
            <w:tcW w:w="4975" w:type="dxa"/>
          </w:tcPr>
          <w:p w:rsidR="00BC5007" w:rsidRPr="0061628B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401" w:type="dxa"/>
          </w:tcPr>
          <w:p w:rsidR="00BC5007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BC5007" w:rsidRPr="0061628B" w:rsidTr="00E47166">
        <w:tc>
          <w:tcPr>
            <w:tcW w:w="4975" w:type="dxa"/>
          </w:tcPr>
          <w:p w:rsidR="00BC5007" w:rsidRPr="0061628B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401" w:type="dxa"/>
          </w:tcPr>
          <w:p w:rsidR="00BC5007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BC5007" w:rsidRPr="0061628B" w:rsidTr="00E47166">
        <w:tc>
          <w:tcPr>
            <w:tcW w:w="4975" w:type="dxa"/>
          </w:tcPr>
          <w:p w:rsidR="00BC5007" w:rsidRPr="0061628B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1.6.</w:t>
            </w:r>
            <w:r w:rsidRPr="0061628B">
              <w:rPr>
                <w:sz w:val="22"/>
                <w:szCs w:val="22"/>
                <w:lang w:val="en-US"/>
              </w:rPr>
              <w:t> </w:t>
            </w:r>
            <w:r w:rsidRPr="0061628B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</w:tcPr>
          <w:p w:rsidR="00BC5007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628B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BC5007" w:rsidRPr="0061628B" w:rsidTr="00E47166">
        <w:tc>
          <w:tcPr>
            <w:tcW w:w="4975" w:type="dxa"/>
          </w:tcPr>
          <w:p w:rsidR="00BC5007" w:rsidRPr="0061628B" w:rsidRDefault="00BC5007">
            <w:pPr>
              <w:ind w:left="57" w:right="57"/>
              <w:jc w:val="both"/>
              <w:rPr>
                <w:sz w:val="22"/>
                <w:szCs w:val="22"/>
              </w:rPr>
            </w:pPr>
            <w:r w:rsidRPr="0061628B">
              <w:rPr>
                <w:sz w:val="22"/>
                <w:szCs w:val="22"/>
              </w:rPr>
              <w:t>1.7.</w:t>
            </w:r>
            <w:r w:rsidRPr="0061628B">
              <w:rPr>
                <w:sz w:val="22"/>
                <w:szCs w:val="22"/>
                <w:lang w:val="en-US"/>
              </w:rPr>
              <w:t> </w:t>
            </w:r>
            <w:r w:rsidRPr="0061628B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</w:tcPr>
          <w:p w:rsidR="00BC5007" w:rsidRPr="0061628B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Pr="0061628B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www</w:t>
              </w:r>
              <w:r w:rsidRPr="0061628B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Pr="0061628B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braz</w:t>
              </w:r>
              <w:r w:rsidRPr="0061628B">
                <w:rPr>
                  <w:rStyle w:val="a7"/>
                  <w:b/>
                  <w:i/>
                  <w:sz w:val="22"/>
                  <w:szCs w:val="22"/>
                </w:rPr>
                <w:t>-</w:t>
              </w:r>
              <w:r w:rsidRPr="0061628B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rusal</w:t>
              </w:r>
              <w:r w:rsidRPr="0061628B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Pr="0061628B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Pr="0061628B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Pr="0061628B">
                <w:rPr>
                  <w:rStyle w:val="a7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F82F00" w:rsidRPr="0061628B" w:rsidRDefault="00F82F0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A5AE8" w:rsidRPr="0061628B" w:rsidTr="00B86548">
        <w:tc>
          <w:tcPr>
            <w:tcW w:w="10348" w:type="dxa"/>
            <w:shd w:val="clear" w:color="auto" w:fill="auto"/>
          </w:tcPr>
          <w:p w:rsidR="009A5AE8" w:rsidRPr="0061628B" w:rsidRDefault="009A5AE8" w:rsidP="00FA453E">
            <w:pPr>
              <w:jc w:val="center"/>
              <w:rPr>
                <w:b/>
                <w:sz w:val="22"/>
                <w:szCs w:val="22"/>
              </w:rPr>
            </w:pPr>
            <w:r w:rsidRPr="0061628B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</w:tbl>
    <w:p w:rsidR="002528E0" w:rsidRDefault="002528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A5AE8" w:rsidRPr="00734EF3" w:rsidTr="00B86548">
        <w:tc>
          <w:tcPr>
            <w:tcW w:w="10348" w:type="dxa"/>
            <w:shd w:val="clear" w:color="auto" w:fill="auto"/>
          </w:tcPr>
          <w:p w:rsidR="009A5AE8" w:rsidRPr="00734EF3" w:rsidRDefault="009A5AE8" w:rsidP="005B7FEE">
            <w:pPr>
              <w:ind w:left="142" w:right="114"/>
              <w:jc w:val="both"/>
              <w:rPr>
                <w:b/>
                <w:i/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="00BC5007" w:rsidRPr="00734EF3">
              <w:rPr>
                <w:b/>
                <w:i/>
                <w:sz w:val="22"/>
                <w:szCs w:val="22"/>
              </w:rPr>
              <w:t>Лицо, предоставившее обеспечение по облигациям эмитента</w:t>
            </w:r>
            <w:r w:rsidRPr="00734EF3">
              <w:rPr>
                <w:b/>
                <w:i/>
                <w:sz w:val="22"/>
                <w:szCs w:val="22"/>
              </w:rPr>
              <w:t>.</w:t>
            </w:r>
          </w:p>
          <w:p w:rsidR="009A5AE8" w:rsidRPr="00734EF3" w:rsidRDefault="009A5AE8" w:rsidP="005B7FEE">
            <w:pPr>
              <w:ind w:left="142" w:right="114"/>
              <w:jc w:val="both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 xml:space="preserve">2.2. </w:t>
            </w:r>
            <w:r w:rsidR="00BC5007" w:rsidRPr="00734EF3">
              <w:rPr>
                <w:sz w:val="22"/>
                <w:szCs w:val="22"/>
              </w:rPr>
              <w:t>Сведения о лице, предоставившем обеспечение по облигациям эмитента:</w:t>
            </w:r>
          </w:p>
          <w:p w:rsidR="00BC5007" w:rsidRPr="00734EF3" w:rsidRDefault="00BC5007" w:rsidP="005B7FEE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 xml:space="preserve">Полное фирменное наименование: </w:t>
            </w:r>
            <w:r w:rsidRPr="00734EF3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 «РУСАЛ Красноярский Алюминиевый Завод»</w:t>
            </w:r>
          </w:p>
          <w:p w:rsidR="00BC5007" w:rsidRPr="00734EF3" w:rsidRDefault="00BC5007" w:rsidP="005B7FEE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34EF3"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 w:rsidRPr="00734EF3">
              <w:rPr>
                <w:b/>
                <w:bCs/>
                <w:i/>
                <w:iCs/>
                <w:sz w:val="22"/>
                <w:szCs w:val="22"/>
              </w:rPr>
              <w:t>660111, Российская Федерация,</w:t>
            </w:r>
            <w:r w:rsidR="00EF135E" w:rsidRPr="00734EF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47166" w:rsidRPr="00734EF3">
              <w:rPr>
                <w:b/>
                <w:bCs/>
                <w:i/>
                <w:iCs/>
                <w:sz w:val="22"/>
                <w:szCs w:val="22"/>
              </w:rPr>
              <w:t>г. Красноярск</w:t>
            </w:r>
            <w:r w:rsidR="00335A3B" w:rsidRPr="00734EF3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E47166" w:rsidRPr="00734EF3">
              <w:rPr>
                <w:b/>
                <w:bCs/>
                <w:i/>
                <w:iCs/>
                <w:sz w:val="22"/>
                <w:szCs w:val="22"/>
              </w:rPr>
              <w:t xml:space="preserve"> ул. Пограничников, 40.</w:t>
            </w:r>
            <w:r w:rsidRPr="00734EF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BC5007" w:rsidRPr="00734EF3" w:rsidRDefault="00BC5007" w:rsidP="005B7FEE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 xml:space="preserve">ОГРН: </w:t>
            </w:r>
            <w:r w:rsidRPr="00734EF3">
              <w:rPr>
                <w:b/>
                <w:bCs/>
                <w:i/>
                <w:iCs/>
                <w:sz w:val="22"/>
                <w:szCs w:val="22"/>
              </w:rPr>
              <w:t>1022402468010</w:t>
            </w:r>
          </w:p>
          <w:p w:rsidR="00BC5007" w:rsidRPr="00734EF3" w:rsidRDefault="00BC5007" w:rsidP="005B7FEE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 xml:space="preserve">ИНН: </w:t>
            </w:r>
            <w:r w:rsidRPr="00734EF3">
              <w:rPr>
                <w:b/>
                <w:bCs/>
                <w:i/>
                <w:iCs/>
                <w:sz w:val="22"/>
                <w:szCs w:val="22"/>
              </w:rPr>
              <w:t>2465000141</w:t>
            </w:r>
          </w:p>
          <w:p w:rsidR="00D14A0C" w:rsidRPr="00D14A0C" w:rsidRDefault="00BC5007" w:rsidP="005B7FEE">
            <w:pPr>
              <w:pStyle w:val="ListParagraph"/>
              <w:spacing w:after="0" w:line="240" w:lineRule="auto"/>
              <w:ind w:left="142" w:right="114"/>
              <w:jc w:val="both"/>
              <w:rPr>
                <w:rFonts w:ascii="Times New Roman" w:hAnsi="Times New Roman"/>
              </w:rPr>
            </w:pPr>
            <w:r w:rsidRPr="00D14A0C">
              <w:rPr>
                <w:rFonts w:ascii="Times New Roman" w:hAnsi="Times New Roman"/>
              </w:rPr>
              <w:t>2.</w:t>
            </w:r>
            <w:r w:rsidRPr="00D14A0C">
              <w:rPr>
                <w:rFonts w:ascii="Times New Roman" w:hAnsi="Times New Roman"/>
                <w:bCs/>
                <w:iCs/>
              </w:rPr>
              <w:t xml:space="preserve">3. Категория сделки: </w:t>
            </w:r>
            <w:r w:rsidR="00D14A0C" w:rsidRPr="00D14A0C">
              <w:rPr>
                <w:rFonts w:ascii="Times New Roman" w:hAnsi="Times New Roman"/>
                <w:b/>
                <w:i/>
                <w:szCs w:val="24"/>
              </w:rPr>
              <w:t>Крупная сделка, которая одновременно является сделкой, в совершении которой имелась заинтересованность</w:t>
            </w:r>
          </w:p>
          <w:p w:rsidR="0061628B" w:rsidRPr="00D14A0C" w:rsidRDefault="009A5AE8" w:rsidP="005B7FEE">
            <w:pPr>
              <w:pStyle w:val="ListParagraph"/>
              <w:spacing w:after="0" w:line="240" w:lineRule="auto"/>
              <w:ind w:left="142" w:right="114"/>
              <w:jc w:val="both"/>
              <w:rPr>
                <w:rFonts w:ascii="Times New Roman" w:hAnsi="Times New Roman"/>
              </w:rPr>
            </w:pPr>
            <w:r w:rsidRPr="00734EF3">
              <w:rPr>
                <w:rFonts w:ascii="Times New Roman" w:hAnsi="Times New Roman"/>
              </w:rPr>
              <w:t>2.</w:t>
            </w:r>
            <w:r w:rsidR="00BC5007" w:rsidRPr="00734EF3">
              <w:rPr>
                <w:rFonts w:ascii="Times New Roman" w:hAnsi="Times New Roman"/>
              </w:rPr>
              <w:t>4</w:t>
            </w:r>
            <w:r w:rsidRPr="00734EF3">
              <w:rPr>
                <w:rFonts w:ascii="Times New Roman" w:hAnsi="Times New Roman"/>
              </w:rPr>
              <w:t>. Вид и предмет сделки:</w:t>
            </w:r>
          </w:p>
          <w:p w:rsidR="00D8634F" w:rsidRPr="008030EE" w:rsidRDefault="008030EE" w:rsidP="005B7FEE">
            <w:pPr>
              <w:pStyle w:val="ListParagraph"/>
              <w:spacing w:after="0" w:line="240" w:lineRule="auto"/>
              <w:ind w:left="142" w:right="114"/>
              <w:jc w:val="both"/>
              <w:rPr>
                <w:rFonts w:ascii="Times New Roman" w:hAnsi="Times New Roman"/>
                <w:b/>
                <w:bCs/>
                <w:i/>
              </w:rPr>
            </w:pPr>
            <w:proofErr w:type="gramStart"/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Изменения  и дополнения к следующим договорам: (i) договор предэкспортного финансирования </w:t>
            </w:r>
            <w:r w:rsidRPr="008030EE">
              <w:rPr>
                <w:rFonts w:ascii="Times New Roman" w:hAnsi="Times New Roman"/>
                <w:b/>
                <w:bCs/>
                <w:i/>
              </w:rPr>
              <w:t>на сумму до 4 750 000 000 долларов США</w:t>
            </w:r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 между United Company RUSAL Plc и BNP PARIBAS (SUISSE) SA в качестве агента по кредиту и агента по обеспечению и другими лицами от 29 сентября 2011 года с изменениями и дополнениями (далее – «Договор на 4,75 млрд. долл. США») и (ii) мультивалютный</w:t>
            </w:r>
            <w:proofErr w:type="gramEnd"/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 </w:t>
            </w:r>
            <w:proofErr w:type="gramStart"/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договор предэкспортного финансирования </w:t>
            </w:r>
            <w:r w:rsidRPr="008030EE">
              <w:rPr>
                <w:rFonts w:ascii="Times New Roman" w:hAnsi="Times New Roman"/>
                <w:b/>
                <w:bCs/>
                <w:i/>
              </w:rPr>
              <w:t>на сумму до 400 000 000 долларов США</w:t>
            </w:r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 между United Company RUSAL Plc и ING BANK N.V. в качестве агента по кредиту и агента по обеспечению и другими лицами от 30 января 2013 года (далее – «Договор на 400 млн. долл. США»), – составленные в форме единого документа (далее «Кредитный договор»), заключенного 20 августа 2014 года между, среди</w:t>
            </w:r>
            <w:proofErr w:type="gramEnd"/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 </w:t>
            </w:r>
            <w:proofErr w:type="gramStart"/>
            <w:r w:rsidRPr="008030EE">
              <w:rPr>
                <w:rFonts w:ascii="Times New Roman" w:eastAsia="SimSun" w:hAnsi="Times New Roman"/>
                <w:b/>
                <w:bCs/>
                <w:i/>
              </w:rPr>
              <w:t>прочих лиц, Обществом в качестве Российского поручителя (в соответствии с определением термина «Russian Guarantor» в Кредитном договоре и Договоре поручительства, как указано ниже), United Company RUSAL Plc в качестве Заемщика, BNP PARIBAS (SUISSE) SA в качестве Первого агента по обеспечению и Иностранного банка, ING BANK N.V. в качестве Агента по кредиту, Второго агента по обеспечению, Хеджирующей стороны и Иностранного</w:t>
            </w:r>
            <w:proofErr w:type="gramEnd"/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 </w:t>
            </w:r>
            <w:proofErr w:type="gramStart"/>
            <w:r w:rsidRPr="008030EE">
              <w:rPr>
                <w:rFonts w:ascii="Times New Roman" w:eastAsia="SimSun" w:hAnsi="Times New Roman"/>
                <w:b/>
                <w:bCs/>
                <w:i/>
              </w:rPr>
              <w:t>банка, а также поименованных в договоре Первоначальных кредиторов, в связи с предлагаемым рефинансированием платежей по Кредитному договору, обязательных к погашению Заемщиком в 2016 и 2017 гг. (далее – «Погашающие платежи 2016/2017») на общую сумму до 700 000 000 (семьсот миллионов) долларов США (далее - «Рефинансирование») за счет средств, привлекаемых от Первоначальных кредиторов, а также от новых кредиторов, которые присоединятся к Кредитному</w:t>
            </w:r>
            <w:proofErr w:type="gramEnd"/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 договору для этих целей, в форме новых субтраншей по Траншам обязательным к погашению в 2016 и 2017 гг. (далее - «</w:t>
            </w:r>
            <w:proofErr w:type="gramStart"/>
            <w:r w:rsidRPr="008030EE">
              <w:rPr>
                <w:rFonts w:ascii="Times New Roman" w:eastAsia="SimSun" w:hAnsi="Times New Roman"/>
                <w:b/>
                <w:bCs/>
                <w:i/>
              </w:rPr>
              <w:t>Рефинансирующие</w:t>
            </w:r>
            <w:proofErr w:type="gramEnd"/>
            <w:r w:rsidRPr="008030EE">
              <w:rPr>
                <w:rFonts w:ascii="Times New Roman" w:eastAsia="SimSun" w:hAnsi="Times New Roman"/>
                <w:b/>
                <w:bCs/>
                <w:i/>
              </w:rPr>
              <w:t xml:space="preserve"> субтранши») или в форме одного или нескольких новых кредитных договоров</w:t>
            </w:r>
            <w:r>
              <w:rPr>
                <w:rFonts w:ascii="Times New Roman" w:eastAsia="SimSun" w:hAnsi="Times New Roman"/>
                <w:b/>
                <w:bCs/>
                <w:i/>
              </w:rPr>
              <w:t>.</w:t>
            </w:r>
          </w:p>
          <w:p w:rsidR="005B7FEE" w:rsidRPr="00734EF3" w:rsidRDefault="009A5AE8" w:rsidP="005B7FEE">
            <w:pPr>
              <w:ind w:left="142" w:right="114"/>
              <w:jc w:val="both"/>
              <w:rPr>
                <w:rFonts w:eastAsia="SimSun"/>
                <w:bCs/>
                <w:sz w:val="22"/>
                <w:szCs w:val="22"/>
                <w:lang w:eastAsia="en-US"/>
              </w:rPr>
            </w:pPr>
            <w:r w:rsidRPr="00734EF3">
              <w:rPr>
                <w:rFonts w:eastAsia="SimSun"/>
                <w:bCs/>
                <w:sz w:val="22"/>
                <w:szCs w:val="22"/>
                <w:lang w:eastAsia="en-US"/>
              </w:rPr>
              <w:t>2.</w:t>
            </w:r>
            <w:r w:rsidR="00BC5007" w:rsidRPr="00734EF3">
              <w:rPr>
                <w:rFonts w:eastAsia="SimSun"/>
                <w:bCs/>
                <w:sz w:val="22"/>
                <w:szCs w:val="22"/>
                <w:lang w:eastAsia="en-US"/>
              </w:rPr>
              <w:t>5</w:t>
            </w:r>
            <w:r w:rsidRPr="00734EF3">
              <w:rPr>
                <w:rFonts w:eastAsia="SimSun"/>
                <w:bCs/>
                <w:sz w:val="22"/>
                <w:szCs w:val="22"/>
                <w:lang w:eastAsia="en-US"/>
              </w:rPr>
              <w:t xml:space="preserve">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8030EE" w:rsidRPr="008030EE" w:rsidRDefault="008030EE" w:rsidP="008030EE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Общая сумма Рефинансирования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 xml:space="preserve">: </w:t>
            </w:r>
            <w:r w:rsidRPr="008030EE">
              <w:rPr>
                <w:b/>
                <w:i/>
                <w:sz w:val="22"/>
              </w:rPr>
              <w:t>до 700 000 000 (семьсот миллионов) долларов США, при этом общая сумма Кредитного договора не изменяется и составляет до эквивалента 5 150 000 000 (пять миллиардов сто пятьдесят миллионов) долларов США и включает нескольких Траншей и Субтраншей.</w:t>
            </w:r>
          </w:p>
          <w:p w:rsidR="008030EE" w:rsidRPr="008030EE" w:rsidRDefault="008030EE" w:rsidP="008030EE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proofErr w:type="gramStart"/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Период доступности Рефинансирования:</w:t>
            </w:r>
            <w:r w:rsidRPr="008030EE">
              <w:rPr>
                <w:b/>
                <w:i/>
                <w:sz w:val="22"/>
              </w:rPr>
              <w:t xml:space="preserve"> в течение 12 месяцев после даты вступления в силу </w:t>
            </w:r>
            <w:r w:rsidRPr="008030EE">
              <w:rPr>
                <w:b/>
                <w:i/>
                <w:sz w:val="22"/>
              </w:rPr>
              <w:lastRenderedPageBreak/>
              <w:t>изменений, вносимых в Финансовые документы (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>в соответствии с определением термина «Finance Documents» в Кредитном договоре)</w:t>
            </w:r>
            <w:r w:rsidRPr="008030EE">
              <w:rPr>
                <w:b/>
                <w:i/>
                <w:sz w:val="22"/>
              </w:rPr>
              <w:t xml:space="preserve"> и предусматривающих проведение Рефинансирования, с учетом возможного продления на дополнительные 12 месяцев, позволяющего провести Рефинансирование платежей по Кредитному договору, обязательных к погашению в 2017 г.</w:t>
            </w:r>
            <w:proofErr w:type="gramEnd"/>
          </w:p>
          <w:p w:rsidR="008030EE" w:rsidRPr="008030EE" w:rsidRDefault="008030EE" w:rsidP="008030EE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proofErr w:type="gramStart"/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Процентная ставка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 xml:space="preserve">: совокупность Наличной маржи и Маржи капитализации (в соответствии с определениями «Cash Margin» и «PIK Margin» в Кредитном договоре, </w:t>
            </w:r>
            <w:r w:rsidRPr="008030EE">
              <w:rPr>
                <w:b/>
                <w:i/>
                <w:sz w:val="22"/>
              </w:rPr>
              <w:t>соответственно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>), а также ставки LIBOR (в отношении кредита в долларах США) и/или ставки EURIBOR (в отношении кредита в евро) и Обязательных издержек (в соответствии с определением термина «Mandatory Cost» в Кредитном договоре) (если таковые возникнут).</w:t>
            </w:r>
            <w:proofErr w:type="gramEnd"/>
          </w:p>
          <w:p w:rsidR="008030EE" w:rsidRPr="008030EE" w:rsidRDefault="008030EE" w:rsidP="008030EE">
            <w:pPr>
              <w:pStyle w:val="aa"/>
              <w:tabs>
                <w:tab w:val="left" w:pos="601"/>
              </w:tabs>
              <w:spacing w:after="0"/>
              <w:ind w:left="601" w:right="34"/>
              <w:jc w:val="both"/>
              <w:rPr>
                <w:rFonts w:eastAsia="SimSun"/>
                <w:b/>
                <w:bCs/>
                <w:i/>
                <w:sz w:val="22"/>
              </w:rPr>
            </w:pPr>
            <w:proofErr w:type="gramStart"/>
            <w:r w:rsidRPr="008030EE">
              <w:rPr>
                <w:rFonts w:eastAsia="SimSun"/>
                <w:b/>
                <w:bCs/>
                <w:i/>
                <w:sz w:val="22"/>
              </w:rPr>
              <w:t>Наличная маржа в отношении каждого Рефинансирующего субтранша не должна превышать 5,75% годовых и может пересчитываться в зависимости от Коэффициента Общего объема чистого долга к EBITDA (в соответствии с определением термина «Leverage Ratio» в Кредитном договоре) на дату окончания наиболее недавнего Соответствующего периода (в соответствии с определением термина «Relevant Period» в Кредитном договоре):</w:t>
            </w:r>
            <w:proofErr w:type="gramEnd"/>
          </w:p>
          <w:tbl>
            <w:tblPr>
              <w:tblW w:w="0" w:type="auto"/>
              <w:tblInd w:w="7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8"/>
              <w:gridCol w:w="3402"/>
            </w:tblGrid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Коэффициент</w:t>
                  </w:r>
                  <w:r w:rsidRPr="008030EE">
                    <w:rPr>
                      <w:rFonts w:eastAsia="SimSun"/>
                      <w:b/>
                      <w:bCs/>
                      <w:i/>
                      <w:sz w:val="22"/>
                    </w:rPr>
                    <w:t xml:space="preserve"> Общего объема чистого долга к EBITDA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Размер </w:t>
                  </w:r>
                  <w:r w:rsidRPr="008030EE">
                    <w:rPr>
                      <w:rFonts w:eastAsia="SimSun"/>
                      <w:b/>
                      <w:bCs/>
                      <w:i/>
                      <w:sz w:val="22"/>
                    </w:rPr>
                    <w:t xml:space="preserve">Наличной </w:t>
                  </w: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маржи (%) </w:t>
                  </w:r>
                  <w:proofErr w:type="gramStart"/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годовых</w:t>
                  </w:r>
                  <w:proofErr w:type="gramEnd"/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Превышает 5:1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5,75% </w:t>
                  </w:r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Равен или ниже 5:1, но превышает 4,5:1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5,30% </w:t>
                  </w:r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Равен или ниже 4,5:1, но превышает 4:1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4,75% </w:t>
                  </w:r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Равен или ниже 4:1, но превышает 3,5:1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4,25% </w:t>
                  </w:r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Равен или ниже 3,5:1, но превышает 3:1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3,75% </w:t>
                  </w:r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Равен или ниже 3:1, но превышает 2,5:1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3,50% </w:t>
                  </w:r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Равен или ниже 2,5:1, но превышает 2:1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3,25% </w:t>
                  </w:r>
                </w:p>
              </w:tc>
            </w:tr>
            <w:tr w:rsidR="008030EE" w:rsidRPr="008030EE" w:rsidTr="008030EE">
              <w:tc>
                <w:tcPr>
                  <w:tcW w:w="5528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>Равен или ниже 2:1</w:t>
                  </w:r>
                </w:p>
              </w:tc>
              <w:tc>
                <w:tcPr>
                  <w:tcW w:w="3402" w:type="dxa"/>
                </w:tcPr>
                <w:p w:rsidR="008030EE" w:rsidRPr="008030EE" w:rsidRDefault="008030EE" w:rsidP="008030EE">
                  <w:pPr>
                    <w:tabs>
                      <w:tab w:val="left" w:pos="601"/>
                    </w:tabs>
                    <w:ind w:left="601" w:right="34" w:hanging="425"/>
                    <w:jc w:val="center"/>
                    <w:rPr>
                      <w:rFonts w:eastAsia="MS Mincho"/>
                      <w:b/>
                      <w:i/>
                      <w:sz w:val="22"/>
                    </w:rPr>
                  </w:pPr>
                  <w:r w:rsidRPr="008030EE">
                    <w:rPr>
                      <w:rFonts w:eastAsia="MS Mincho"/>
                      <w:b/>
                      <w:i/>
                      <w:sz w:val="22"/>
                    </w:rPr>
                    <w:t xml:space="preserve">3,00% </w:t>
                  </w:r>
                </w:p>
              </w:tc>
            </w:tr>
          </w:tbl>
          <w:p w:rsidR="008030EE" w:rsidRPr="008030EE" w:rsidRDefault="008030EE" w:rsidP="008030EE">
            <w:pPr>
              <w:pStyle w:val="aa"/>
              <w:tabs>
                <w:tab w:val="left" w:pos="601"/>
              </w:tabs>
              <w:spacing w:after="0"/>
              <w:ind w:left="601" w:right="34"/>
              <w:jc w:val="both"/>
              <w:rPr>
                <w:rFonts w:eastAsia="SimSun"/>
                <w:b/>
                <w:bCs/>
                <w:i/>
                <w:sz w:val="22"/>
              </w:rPr>
            </w:pPr>
          </w:p>
          <w:p w:rsidR="008030EE" w:rsidRPr="008030EE" w:rsidRDefault="008030EE" w:rsidP="008030EE">
            <w:pPr>
              <w:pStyle w:val="aa"/>
              <w:tabs>
                <w:tab w:val="left" w:pos="601"/>
              </w:tabs>
              <w:spacing w:after="0"/>
              <w:ind w:left="601" w:right="34"/>
              <w:rPr>
                <w:rFonts w:eastAsia="SimSun"/>
                <w:b/>
                <w:bCs/>
                <w:i/>
                <w:sz w:val="22"/>
              </w:rPr>
            </w:pPr>
            <w:r w:rsidRPr="008030EE">
              <w:rPr>
                <w:rFonts w:eastAsia="SimSun"/>
                <w:b/>
                <w:bCs/>
                <w:i/>
                <w:sz w:val="22"/>
              </w:rPr>
              <w:t xml:space="preserve">Маржа капитализации в отношении каждого Рефинансирующего субтранша составляет 0% </w:t>
            </w:r>
            <w:proofErr w:type="gramStart"/>
            <w:r w:rsidRPr="008030EE">
              <w:rPr>
                <w:rFonts w:eastAsia="SimSun"/>
                <w:b/>
                <w:bCs/>
                <w:i/>
                <w:sz w:val="22"/>
              </w:rPr>
              <w:t>годовых</w:t>
            </w:r>
            <w:proofErr w:type="gramEnd"/>
            <w:r w:rsidRPr="008030EE">
              <w:rPr>
                <w:rFonts w:eastAsia="SimSun"/>
                <w:b/>
                <w:bCs/>
                <w:i/>
                <w:sz w:val="22"/>
              </w:rPr>
              <w:t>.</w:t>
            </w:r>
          </w:p>
          <w:p w:rsidR="008030EE" w:rsidRPr="008030EE" w:rsidRDefault="008030EE" w:rsidP="00113E89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Процентный период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 xml:space="preserve">: 3 месяца или иной более короткий период (как может быть согласовано между United Company RUSAL Plc и ING BANK N.V. в качестве Агента по кредиту) </w:t>
            </w:r>
          </w:p>
          <w:p w:rsidR="008030EE" w:rsidRPr="008030EE" w:rsidRDefault="008030EE" w:rsidP="008030EE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Окончательный срок погашения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>: окончательный срок погашения каждого из Рефинансирующих субтраншей наступает не позднее, чем через 48 месяцев после даты выборки соответствующего кредита.</w:t>
            </w:r>
          </w:p>
          <w:p w:rsidR="008030EE" w:rsidRPr="008030EE" w:rsidRDefault="008030EE" w:rsidP="008030EE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Порядок погашения: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 xml:space="preserve"> </w:t>
            </w:r>
            <w:proofErr w:type="gramStart"/>
            <w:r w:rsidRPr="008030EE">
              <w:rPr>
                <w:rFonts w:eastAsia="SimSun"/>
                <w:b/>
                <w:bCs/>
                <w:i/>
                <w:sz w:val="22"/>
              </w:rPr>
              <w:t>Рефинансирующие субтранши подлежат погашению равными квартальными платежами в Дату планового погашения (в соответствии с определением термина «Scheduled Repayment Date» в Кредитном договоре), начиная с даты, попадающей на последний Рабочий день (в соответствии с определением термина «Business Day» в Кредитном договоре) 22 календарного месяца после даты выборки по такому кредиту, в порядке, установленном в статье 6 (Погашение долга) Кредитного договора.</w:t>
            </w:r>
            <w:proofErr w:type="gramEnd"/>
            <w:r w:rsidRPr="008030EE">
              <w:rPr>
                <w:rFonts w:eastAsia="SimSun"/>
                <w:b/>
                <w:bCs/>
                <w:i/>
                <w:sz w:val="22"/>
              </w:rPr>
              <w:t xml:space="preserve"> Кредитный договор также предусматривает основания обязательного и добровольного досрочного погашения.</w:t>
            </w:r>
          </w:p>
          <w:p w:rsidR="008030EE" w:rsidRPr="008030EE" w:rsidRDefault="008030EE" w:rsidP="008030EE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Обеспечение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 xml:space="preserve">: при Рефинансировании будет использовано существующее Обеспечение по сделке (в соответствии с определением термина «Transaction Security» в Кредитном договоре). </w:t>
            </w:r>
          </w:p>
          <w:p w:rsidR="008030EE" w:rsidRPr="008030EE" w:rsidRDefault="008030EE" w:rsidP="008030EE">
            <w:pPr>
              <w:pStyle w:val="aa"/>
              <w:numPr>
                <w:ilvl w:val="1"/>
                <w:numId w:val="9"/>
              </w:numPr>
              <w:tabs>
                <w:tab w:val="left" w:pos="601"/>
              </w:tabs>
              <w:autoSpaceDE/>
              <w:autoSpaceDN/>
              <w:spacing w:after="0"/>
              <w:ind w:left="601" w:right="34" w:hanging="425"/>
              <w:jc w:val="both"/>
              <w:rPr>
                <w:rFonts w:eastAsia="SimSun"/>
                <w:b/>
                <w:bCs/>
                <w:i/>
                <w:sz w:val="22"/>
              </w:rPr>
            </w:pPr>
            <w:r w:rsidRPr="008030EE">
              <w:rPr>
                <w:rFonts w:eastAsia="SimSun"/>
                <w:b/>
                <w:bCs/>
                <w:i/>
                <w:sz w:val="22"/>
                <w:u w:val="single"/>
              </w:rPr>
              <w:t>Иные основные условия Кредитного договора</w:t>
            </w:r>
            <w:r w:rsidRPr="008030EE">
              <w:rPr>
                <w:rFonts w:eastAsia="SimSun"/>
                <w:b/>
                <w:bCs/>
                <w:i/>
                <w:sz w:val="22"/>
              </w:rPr>
              <w:t>: одобрены решением единственного акционера Общества от 8 августа 2014 года и остаются без изменений.</w:t>
            </w:r>
          </w:p>
          <w:p w:rsidR="009A5AE8" w:rsidRPr="00FD0878" w:rsidRDefault="009A5AE8" w:rsidP="005B7FEE">
            <w:pPr>
              <w:ind w:left="142" w:right="114"/>
              <w:jc w:val="both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>2.</w:t>
            </w:r>
            <w:r w:rsidR="00BC5007" w:rsidRPr="00734EF3">
              <w:rPr>
                <w:sz w:val="22"/>
                <w:szCs w:val="22"/>
              </w:rPr>
              <w:t>6</w:t>
            </w:r>
            <w:r w:rsidRPr="00734EF3">
              <w:rPr>
                <w:sz w:val="22"/>
                <w:szCs w:val="22"/>
              </w:rPr>
              <w:t xml:space="preserve"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или лица, предоставившего обеспечение по облигациям эмитента, которое совершило сделку: </w:t>
            </w:r>
          </w:p>
          <w:p w:rsidR="0061628B" w:rsidRPr="00FD0878" w:rsidRDefault="00171F94" w:rsidP="005B7FEE">
            <w:pPr>
              <w:ind w:left="142" w:right="114"/>
              <w:jc w:val="both"/>
              <w:rPr>
                <w:sz w:val="22"/>
                <w:szCs w:val="22"/>
              </w:rPr>
            </w:pPr>
            <w:r w:rsidRPr="00FD0878">
              <w:rPr>
                <w:sz w:val="22"/>
                <w:szCs w:val="22"/>
              </w:rPr>
              <w:t>Срок исполнения обязательств по сделке:</w:t>
            </w:r>
            <w:r w:rsidR="00D83F22" w:rsidRPr="00FD0878">
              <w:rPr>
                <w:sz w:val="22"/>
                <w:szCs w:val="22"/>
              </w:rPr>
              <w:t xml:space="preserve"> </w:t>
            </w:r>
            <w:r w:rsidR="00C833E2" w:rsidRPr="00C833E2">
              <w:rPr>
                <w:sz w:val="22"/>
                <w:szCs w:val="22"/>
              </w:rPr>
              <w:t>31.12.2020</w:t>
            </w:r>
            <w:r w:rsidR="00C833E2" w:rsidRPr="00FD0878">
              <w:rPr>
                <w:sz w:val="22"/>
                <w:szCs w:val="22"/>
              </w:rPr>
              <w:t xml:space="preserve"> </w:t>
            </w:r>
            <w:r w:rsidR="005B7FEE" w:rsidRPr="00FD0878">
              <w:rPr>
                <w:sz w:val="22"/>
                <w:szCs w:val="22"/>
              </w:rPr>
              <w:t>г.</w:t>
            </w:r>
          </w:p>
          <w:p w:rsidR="00E47166" w:rsidRPr="00A94BDF" w:rsidRDefault="00E47166" w:rsidP="005B7FEE">
            <w:pPr>
              <w:ind w:left="142" w:right="114"/>
              <w:jc w:val="both"/>
              <w:rPr>
                <w:sz w:val="22"/>
                <w:szCs w:val="22"/>
              </w:rPr>
            </w:pPr>
            <w:r w:rsidRPr="00A94BDF">
              <w:rPr>
                <w:sz w:val="22"/>
                <w:szCs w:val="22"/>
              </w:rPr>
              <w:t xml:space="preserve">Стороны сделки: </w:t>
            </w:r>
            <w:r w:rsidR="0061628B" w:rsidRPr="00A94BDF">
              <w:rPr>
                <w:sz w:val="22"/>
                <w:szCs w:val="22"/>
              </w:rPr>
              <w:t xml:space="preserve">Открытое акционерное общество «РУСАЛ Красноярский Алюминиевый Завод», </w:t>
            </w:r>
            <w:r w:rsidR="00635E35" w:rsidRPr="00A94BDF">
              <w:rPr>
                <w:sz w:val="22"/>
                <w:szCs w:val="22"/>
              </w:rPr>
              <w:t xml:space="preserve"> BNP PARIBAS (SUISSE) SA, ING BANK N.V.</w:t>
            </w:r>
          </w:p>
          <w:p w:rsidR="00635E35" w:rsidRPr="00A94BDF" w:rsidRDefault="00635E35" w:rsidP="005B7FEE">
            <w:pPr>
              <w:ind w:left="142" w:right="114"/>
              <w:jc w:val="both"/>
              <w:rPr>
                <w:sz w:val="22"/>
                <w:szCs w:val="22"/>
              </w:rPr>
            </w:pPr>
            <w:r w:rsidRPr="00A94BDF">
              <w:rPr>
                <w:sz w:val="22"/>
                <w:szCs w:val="22"/>
              </w:rPr>
              <w:t>Выгодоприобретатели по сделке: United Company RUSAL Plc</w:t>
            </w:r>
          </w:p>
          <w:p w:rsidR="009A5AE8" w:rsidRPr="00734EF3" w:rsidRDefault="00E47166" w:rsidP="005B7FEE">
            <w:pPr>
              <w:ind w:left="142" w:right="114"/>
              <w:jc w:val="both"/>
              <w:rPr>
                <w:b/>
                <w:i/>
                <w:sz w:val="22"/>
                <w:szCs w:val="22"/>
              </w:rPr>
            </w:pPr>
            <w:r w:rsidRPr="00734EF3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Размер сделки в денежном выражении и в процентах от стоимости активов </w:t>
            </w:r>
            <w:r w:rsidRPr="00734EF3">
              <w:rPr>
                <w:sz w:val="22"/>
                <w:szCs w:val="22"/>
              </w:rPr>
              <w:t>лица, предоставившего обеспечение по облигациям эмитента</w:t>
            </w:r>
            <w:r w:rsidRPr="00734EF3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: </w:t>
            </w:r>
            <w:r w:rsidR="00635E35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700</w:t>
            </w:r>
            <w:r w:rsidR="002528E0" w:rsidRPr="002528E0">
              <w:rPr>
                <w:rFonts w:eastAsia="SimSun"/>
                <w:b/>
                <w:bCs/>
                <w:i/>
                <w:sz w:val="22"/>
                <w:szCs w:val="22"/>
                <w:lang w:val="en-US" w:eastAsia="en-US"/>
              </w:rPr>
              <w:t> </w:t>
            </w:r>
            <w:r w:rsidR="002528E0" w:rsidRPr="002528E0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000 000</w:t>
            </w:r>
            <w:r w:rsidR="00D83F22" w:rsidRPr="002528E0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(</w:t>
            </w:r>
            <w:r w:rsidR="00635E35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семьсот миллионов</w:t>
            </w:r>
            <w:r w:rsidR="00D83F22" w:rsidRPr="002528E0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) </w:t>
            </w:r>
            <w:r w:rsidR="00635E35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долларов США</w:t>
            </w:r>
            <w:r w:rsidR="00D83F22" w:rsidRPr="002528E0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  </w:t>
            </w:r>
            <w:r w:rsidR="00D83F22" w:rsidRPr="002528E0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или </w:t>
            </w:r>
            <w:r w:rsidR="001D23ED" w:rsidRP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>83,93%</w:t>
            </w:r>
            <w:r w:rsidR="00D83F22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2F3BB9" w:rsidRPr="00734EF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 xml:space="preserve">от стоимости активов </w:t>
            </w:r>
            <w:r w:rsidR="00BC5007" w:rsidRPr="00734EF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лица, предоставившего обеспечение по облигациям эмитента.</w:t>
            </w:r>
          </w:p>
          <w:p w:rsidR="009A5AE8" w:rsidRPr="00734EF3" w:rsidRDefault="009A5AE8" w:rsidP="005B7FEE">
            <w:pPr>
              <w:ind w:left="142" w:right="114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734EF3">
              <w:rPr>
                <w:rFonts w:eastAsia="SimSun"/>
                <w:sz w:val="22"/>
                <w:szCs w:val="22"/>
                <w:lang w:eastAsia="en-US"/>
              </w:rPr>
              <w:t>2.</w:t>
            </w:r>
            <w:r w:rsidR="00BC5007" w:rsidRPr="00734EF3">
              <w:rPr>
                <w:rFonts w:eastAsia="SimSun"/>
                <w:sz w:val="22"/>
                <w:szCs w:val="22"/>
                <w:lang w:eastAsia="en-US"/>
              </w:rPr>
              <w:t>7</w:t>
            </w:r>
            <w:r w:rsidRPr="00734EF3">
              <w:rPr>
                <w:rFonts w:eastAsia="SimSun"/>
                <w:sz w:val="22"/>
                <w:szCs w:val="22"/>
                <w:lang w:eastAsia="en-US"/>
              </w:rPr>
              <w:t xml:space="preserve">. Стоимость активов </w:t>
            </w:r>
            <w:r w:rsidR="00BC5007" w:rsidRPr="00734EF3">
              <w:rPr>
                <w:sz w:val="22"/>
                <w:szCs w:val="22"/>
              </w:rPr>
              <w:t>лица, предоставившего обеспечение по облигациям эмитента,</w:t>
            </w:r>
            <w:r w:rsidRPr="00734EF3">
              <w:rPr>
                <w:rFonts w:eastAsia="SimSun"/>
                <w:sz w:val="22"/>
                <w:szCs w:val="22"/>
                <w:lang w:eastAsia="en-US"/>
              </w:rPr>
              <w:t xml:space="preserve">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предоставления бухгалтерской (финансовой) отчетности: </w:t>
            </w:r>
            <w:r w:rsidR="00E47166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по состоянию на </w:t>
            </w:r>
            <w:r w:rsidR="001C6983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>31.</w:t>
            </w:r>
            <w:r w:rsid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>03</w:t>
            </w:r>
            <w:r w:rsidR="001C6983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>.201</w:t>
            </w:r>
            <w:r w:rsid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>6</w:t>
            </w:r>
            <w:r w:rsidR="001C6983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г.</w:t>
            </w:r>
            <w:r w:rsidR="00E47166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 –</w:t>
            </w:r>
            <w:r w:rsidR="00E47166" w:rsidRPr="00734EF3">
              <w:rPr>
                <w:rFonts w:eastAsia="SimSun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1D23ED" w:rsidRP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>55</w:t>
            </w:r>
            <w:r w:rsid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1D23ED" w:rsidRP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>571</w:t>
            </w:r>
            <w:r w:rsid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1D23ED" w:rsidRP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>864</w:t>
            </w:r>
            <w:r w:rsid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1D23ED" w:rsidRPr="001D23ED">
              <w:rPr>
                <w:rFonts w:eastAsia="SimSun"/>
                <w:b/>
                <w:i/>
                <w:sz w:val="22"/>
                <w:szCs w:val="22"/>
                <w:lang w:eastAsia="en-US"/>
              </w:rPr>
              <w:t>993</w:t>
            </w:r>
            <w:r w:rsidR="00D83F22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E47166" w:rsidRPr="00734EF3">
              <w:rPr>
                <w:rFonts w:eastAsia="SimSun"/>
                <w:b/>
                <w:i/>
                <w:sz w:val="22"/>
                <w:szCs w:val="22"/>
                <w:lang w:eastAsia="en-US"/>
              </w:rPr>
              <w:t>руб.</w:t>
            </w:r>
          </w:p>
          <w:p w:rsidR="009A5AE8" w:rsidRPr="00734EF3" w:rsidRDefault="009A5AE8" w:rsidP="005B7FEE">
            <w:pPr>
              <w:ind w:left="142" w:right="114"/>
              <w:jc w:val="both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>2.</w:t>
            </w:r>
            <w:r w:rsidR="00BC5007" w:rsidRPr="00734EF3">
              <w:rPr>
                <w:sz w:val="22"/>
                <w:szCs w:val="22"/>
              </w:rPr>
              <w:t>8</w:t>
            </w:r>
            <w:r w:rsidRPr="00734EF3">
              <w:rPr>
                <w:sz w:val="22"/>
                <w:szCs w:val="22"/>
              </w:rPr>
              <w:t>. Дата совершения сделки (заключения договора):</w:t>
            </w:r>
            <w:r w:rsidR="005B7FEE" w:rsidRPr="00734EF3">
              <w:rPr>
                <w:sz w:val="22"/>
                <w:szCs w:val="22"/>
              </w:rPr>
              <w:t xml:space="preserve"> </w:t>
            </w:r>
            <w:r w:rsidR="00A94BDF">
              <w:rPr>
                <w:rFonts w:eastAsia="SimSun"/>
                <w:b/>
                <w:i/>
                <w:sz w:val="22"/>
                <w:szCs w:val="22"/>
                <w:lang w:val="en-US" w:eastAsia="en-US"/>
              </w:rPr>
              <w:t>26</w:t>
            </w:r>
            <w:r w:rsidR="00071192" w:rsidRPr="00A94BDF">
              <w:rPr>
                <w:rFonts w:eastAsia="SimSun"/>
                <w:b/>
                <w:i/>
                <w:sz w:val="22"/>
                <w:szCs w:val="22"/>
                <w:lang w:eastAsia="en-US"/>
              </w:rPr>
              <w:t>.0</w:t>
            </w:r>
            <w:r w:rsidR="00635E35" w:rsidRPr="00A94BDF">
              <w:rPr>
                <w:rFonts w:eastAsia="SimSun"/>
                <w:b/>
                <w:i/>
                <w:sz w:val="22"/>
                <w:szCs w:val="22"/>
                <w:lang w:eastAsia="en-US"/>
              </w:rPr>
              <w:t>4</w:t>
            </w:r>
            <w:r w:rsidR="00E47166" w:rsidRPr="00A94BDF">
              <w:rPr>
                <w:rFonts w:eastAsia="SimSun"/>
                <w:b/>
                <w:i/>
                <w:sz w:val="22"/>
                <w:szCs w:val="22"/>
                <w:lang w:eastAsia="en-US"/>
              </w:rPr>
              <w:t>.201</w:t>
            </w:r>
            <w:r w:rsidR="000C6B04" w:rsidRPr="00A94BDF">
              <w:rPr>
                <w:rFonts w:eastAsia="SimSun"/>
                <w:b/>
                <w:i/>
                <w:sz w:val="22"/>
                <w:szCs w:val="22"/>
                <w:lang w:eastAsia="en-US"/>
              </w:rPr>
              <w:t>6</w:t>
            </w:r>
            <w:r w:rsidR="00E47166" w:rsidRPr="001D23ED">
              <w:rPr>
                <w:b/>
                <w:i/>
                <w:sz w:val="22"/>
                <w:szCs w:val="22"/>
              </w:rPr>
              <w:t>.</w:t>
            </w:r>
          </w:p>
          <w:p w:rsidR="009A5AE8" w:rsidRPr="00734EF3" w:rsidRDefault="00BC5007" w:rsidP="00CB5B02">
            <w:pPr>
              <w:ind w:left="142" w:right="114"/>
              <w:jc w:val="both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>2.9</w:t>
            </w:r>
            <w:r w:rsidR="009A5AE8" w:rsidRPr="00734EF3">
              <w:rPr>
                <w:sz w:val="22"/>
                <w:szCs w:val="22"/>
              </w:rPr>
              <w:t>. Сведения об одобрении сделки</w:t>
            </w:r>
            <w:r w:rsidRPr="00734EF3">
              <w:rPr>
                <w:sz w:val="22"/>
                <w:szCs w:val="22"/>
              </w:rPr>
              <w:t>, когда такая сделка была одобрена уполномоченным органом управления лица, предоставившем обеспечение по облигациям эмитента</w:t>
            </w:r>
            <w:r w:rsidR="009A5AE8" w:rsidRPr="00734EF3">
              <w:rPr>
                <w:sz w:val="22"/>
                <w:szCs w:val="22"/>
              </w:rPr>
              <w:t xml:space="preserve">: </w:t>
            </w:r>
            <w:r w:rsidR="00635E35" w:rsidRPr="00CB5B02">
              <w:rPr>
                <w:b/>
                <w:i/>
                <w:sz w:val="22"/>
                <w:szCs w:val="22"/>
              </w:rPr>
              <w:t>Р</w:t>
            </w:r>
            <w:r w:rsidR="00405C07" w:rsidRPr="00CB5B02">
              <w:rPr>
                <w:b/>
                <w:i/>
                <w:sz w:val="21"/>
                <w:szCs w:val="21"/>
              </w:rPr>
              <w:t xml:space="preserve">ешение единственного акционера ОАО «РУСАЛ </w:t>
            </w:r>
            <w:proofErr w:type="gramStart"/>
            <w:r w:rsidR="00405C07" w:rsidRPr="00CB5B02">
              <w:rPr>
                <w:b/>
                <w:i/>
                <w:sz w:val="21"/>
                <w:szCs w:val="21"/>
              </w:rPr>
              <w:t>Красноярск» б</w:t>
            </w:r>
            <w:proofErr w:type="gramEnd"/>
            <w:r w:rsidR="00405C07" w:rsidRPr="00CB5B02">
              <w:rPr>
                <w:b/>
                <w:i/>
                <w:sz w:val="21"/>
                <w:szCs w:val="21"/>
              </w:rPr>
              <w:t>/н от</w:t>
            </w:r>
            <w:r w:rsidR="00CB5B02" w:rsidRPr="00CB5B02">
              <w:rPr>
                <w:b/>
                <w:i/>
                <w:sz w:val="21"/>
                <w:szCs w:val="21"/>
              </w:rPr>
              <w:t xml:space="preserve"> 13.</w:t>
            </w:r>
            <w:r w:rsidR="00071192" w:rsidRPr="00CB5B02">
              <w:rPr>
                <w:b/>
                <w:i/>
                <w:sz w:val="21"/>
                <w:szCs w:val="21"/>
              </w:rPr>
              <w:t>0</w:t>
            </w:r>
            <w:r w:rsidR="00635E35" w:rsidRPr="00CB5B02">
              <w:rPr>
                <w:b/>
                <w:i/>
                <w:sz w:val="21"/>
                <w:szCs w:val="21"/>
              </w:rPr>
              <w:t>4</w:t>
            </w:r>
            <w:r w:rsidR="00405C07" w:rsidRPr="00CB5B02">
              <w:rPr>
                <w:b/>
                <w:i/>
                <w:sz w:val="21"/>
                <w:szCs w:val="21"/>
              </w:rPr>
              <w:t>.2016.</w:t>
            </w:r>
          </w:p>
        </w:tc>
      </w:tr>
    </w:tbl>
    <w:p w:rsidR="009A5AE8" w:rsidRPr="00734EF3" w:rsidRDefault="009A5A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09"/>
        <w:gridCol w:w="993"/>
        <w:gridCol w:w="2551"/>
        <w:gridCol w:w="567"/>
      </w:tblGrid>
      <w:tr w:rsidR="00F82F00" w:rsidRPr="00734EF3" w:rsidTr="00B86548">
        <w:trPr>
          <w:cantSplit/>
        </w:trPr>
        <w:tc>
          <w:tcPr>
            <w:tcW w:w="10376" w:type="dxa"/>
            <w:gridSpan w:val="5"/>
          </w:tcPr>
          <w:p w:rsidR="00F82F00" w:rsidRPr="00734EF3" w:rsidRDefault="00F82F00" w:rsidP="008226CE">
            <w:pPr>
              <w:jc w:val="center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>3. Подпись</w:t>
            </w:r>
          </w:p>
        </w:tc>
      </w:tr>
      <w:tr w:rsidR="00F82F00" w:rsidRPr="00734EF3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 xml:space="preserve">3.1. </w:t>
            </w:r>
            <w:r w:rsidR="00B764F0" w:rsidRPr="00734EF3">
              <w:rPr>
                <w:sz w:val="22"/>
                <w:szCs w:val="22"/>
              </w:rPr>
              <w:t>Управляющий 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2F00" w:rsidRPr="00734EF3" w:rsidRDefault="00F82F00" w:rsidP="004D7035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2F00" w:rsidRPr="00734EF3" w:rsidRDefault="00D83F22" w:rsidP="004D7035">
            <w:pPr>
              <w:ind w:left="284"/>
              <w:jc w:val="center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>Е.Ю. Зенкин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</w:tr>
      <w:tr w:rsidR="00F82F00" w:rsidRPr="00734EF3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734EF3" w:rsidRDefault="00F82F00" w:rsidP="004D7035">
            <w:pPr>
              <w:ind w:left="284"/>
              <w:jc w:val="center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F00" w:rsidRPr="00734EF3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</w:tr>
      <w:tr w:rsidR="00F82F00" w:rsidRPr="0061628B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F00" w:rsidRPr="00734EF3" w:rsidRDefault="00F82F00" w:rsidP="00D2212A">
            <w:pPr>
              <w:ind w:left="284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 xml:space="preserve">3.2. </w:t>
            </w:r>
            <w:r w:rsidR="00A70592" w:rsidRPr="00734EF3">
              <w:rPr>
                <w:sz w:val="22"/>
                <w:szCs w:val="22"/>
              </w:rPr>
              <w:t xml:space="preserve">Дата </w:t>
            </w:r>
            <w:r w:rsidR="00D2212A" w:rsidRPr="00071192">
              <w:rPr>
                <w:sz w:val="22"/>
                <w:szCs w:val="22"/>
              </w:rPr>
              <w:t>«</w:t>
            </w:r>
            <w:r w:rsidR="00D2212A">
              <w:rPr>
                <w:sz w:val="22"/>
                <w:szCs w:val="22"/>
              </w:rPr>
              <w:t>26</w:t>
            </w:r>
            <w:r w:rsidR="00D2212A" w:rsidRPr="00071192">
              <w:rPr>
                <w:sz w:val="22"/>
                <w:szCs w:val="22"/>
              </w:rPr>
              <w:t xml:space="preserve">» </w:t>
            </w:r>
            <w:r w:rsidR="00635E35">
              <w:rPr>
                <w:sz w:val="22"/>
                <w:szCs w:val="22"/>
              </w:rPr>
              <w:t>апреля</w:t>
            </w:r>
            <w:r w:rsidR="00A70592" w:rsidRPr="00734EF3">
              <w:rPr>
                <w:sz w:val="22"/>
                <w:szCs w:val="22"/>
              </w:rPr>
              <w:t xml:space="preserve"> </w:t>
            </w:r>
            <w:r w:rsidR="00E47166" w:rsidRPr="00734EF3">
              <w:rPr>
                <w:sz w:val="22"/>
                <w:szCs w:val="22"/>
              </w:rPr>
              <w:t>201</w:t>
            </w:r>
            <w:r w:rsidR="00B10353" w:rsidRPr="00734EF3">
              <w:rPr>
                <w:sz w:val="22"/>
                <w:szCs w:val="22"/>
              </w:rPr>
              <w:t>6</w:t>
            </w:r>
            <w:r w:rsidR="00E47166" w:rsidRPr="00734EF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2F00" w:rsidRPr="0061628B" w:rsidRDefault="00F82F00" w:rsidP="004D7035">
            <w:pPr>
              <w:ind w:left="284"/>
              <w:jc w:val="center"/>
              <w:rPr>
                <w:sz w:val="22"/>
                <w:szCs w:val="22"/>
              </w:rPr>
            </w:pPr>
            <w:r w:rsidRPr="00734EF3">
              <w:rPr>
                <w:sz w:val="22"/>
                <w:szCs w:val="22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2F00" w:rsidRPr="0061628B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</w:tr>
      <w:tr w:rsidR="00F82F00" w:rsidRPr="0061628B" w:rsidTr="00B86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2F00" w:rsidRPr="0061628B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00" w:rsidRPr="0061628B" w:rsidRDefault="00F82F00" w:rsidP="004D7035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F00" w:rsidRPr="0061628B" w:rsidRDefault="00F82F00" w:rsidP="004D7035">
            <w:pPr>
              <w:ind w:left="284"/>
              <w:rPr>
                <w:sz w:val="22"/>
                <w:szCs w:val="22"/>
              </w:rPr>
            </w:pPr>
          </w:p>
        </w:tc>
      </w:tr>
    </w:tbl>
    <w:p w:rsidR="002A5845" w:rsidRPr="0061628B" w:rsidRDefault="002A5845" w:rsidP="008226CE">
      <w:pPr>
        <w:rPr>
          <w:sz w:val="22"/>
          <w:szCs w:val="22"/>
        </w:rPr>
      </w:pPr>
    </w:p>
    <w:sectPr w:rsidR="002A5845" w:rsidRPr="0061628B" w:rsidSect="00E47166">
      <w:headerReference w:type="default" r:id="rId10"/>
      <w:pgSz w:w="11906" w:h="16838"/>
      <w:pgMar w:top="340" w:right="567" w:bottom="340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33" w:rsidRDefault="00E07433">
      <w:r>
        <w:separator/>
      </w:r>
    </w:p>
  </w:endnote>
  <w:endnote w:type="continuationSeparator" w:id="0">
    <w:p w:rsidR="00E07433" w:rsidRDefault="00E0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33" w:rsidRDefault="00E07433">
      <w:r>
        <w:separator/>
      </w:r>
    </w:p>
  </w:footnote>
  <w:footnote w:type="continuationSeparator" w:id="0">
    <w:p w:rsidR="00E07433" w:rsidRDefault="00E07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E46" w:rsidRDefault="00C44E46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424F"/>
    <w:multiLevelType w:val="hybridMultilevel"/>
    <w:tmpl w:val="7F22AABE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2861"/>
    <w:multiLevelType w:val="hybridMultilevel"/>
    <w:tmpl w:val="04BCD8E8"/>
    <w:lvl w:ilvl="0" w:tplc="FBB279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F5D4748"/>
    <w:multiLevelType w:val="hybridMultilevel"/>
    <w:tmpl w:val="C4B86060"/>
    <w:lvl w:ilvl="0" w:tplc="2CD66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4746C"/>
    <w:multiLevelType w:val="hybridMultilevel"/>
    <w:tmpl w:val="3C4E0C82"/>
    <w:lvl w:ilvl="0" w:tplc="2CD66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53269"/>
    <w:multiLevelType w:val="hybridMultilevel"/>
    <w:tmpl w:val="9030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D47929"/>
    <w:multiLevelType w:val="hybridMultilevel"/>
    <w:tmpl w:val="CEF08256"/>
    <w:lvl w:ilvl="0" w:tplc="C3AC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D23B8"/>
    <w:multiLevelType w:val="hybridMultilevel"/>
    <w:tmpl w:val="CEB6B63E"/>
    <w:lvl w:ilvl="0" w:tplc="FD10EE7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B912ABB"/>
    <w:multiLevelType w:val="hybridMultilevel"/>
    <w:tmpl w:val="8668B4D6"/>
    <w:lvl w:ilvl="0" w:tplc="922E5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BD"/>
    <w:rsid w:val="00002423"/>
    <w:rsid w:val="00010B6E"/>
    <w:rsid w:val="0001132C"/>
    <w:rsid w:val="00012861"/>
    <w:rsid w:val="000266B2"/>
    <w:rsid w:val="0003041B"/>
    <w:rsid w:val="0003044C"/>
    <w:rsid w:val="000328F9"/>
    <w:rsid w:val="000414E3"/>
    <w:rsid w:val="00055534"/>
    <w:rsid w:val="00055F09"/>
    <w:rsid w:val="000657B5"/>
    <w:rsid w:val="00067253"/>
    <w:rsid w:val="00071192"/>
    <w:rsid w:val="00091ED9"/>
    <w:rsid w:val="00096EE8"/>
    <w:rsid w:val="00097FD0"/>
    <w:rsid w:val="000A4AB1"/>
    <w:rsid w:val="000A4B95"/>
    <w:rsid w:val="000B09A3"/>
    <w:rsid w:val="000B2709"/>
    <w:rsid w:val="000C6B04"/>
    <w:rsid w:val="000D32A6"/>
    <w:rsid w:val="000D5723"/>
    <w:rsid w:val="000D7D9E"/>
    <w:rsid w:val="000E34F8"/>
    <w:rsid w:val="000F36EA"/>
    <w:rsid w:val="001041DB"/>
    <w:rsid w:val="00113193"/>
    <w:rsid w:val="00113E89"/>
    <w:rsid w:val="00126954"/>
    <w:rsid w:val="00131630"/>
    <w:rsid w:val="0013492F"/>
    <w:rsid w:val="001377C0"/>
    <w:rsid w:val="00147DD7"/>
    <w:rsid w:val="00171F94"/>
    <w:rsid w:val="001A2CB8"/>
    <w:rsid w:val="001A3DCC"/>
    <w:rsid w:val="001A54D1"/>
    <w:rsid w:val="001B50BC"/>
    <w:rsid w:val="001C1BC7"/>
    <w:rsid w:val="001C6983"/>
    <w:rsid w:val="001D23ED"/>
    <w:rsid w:val="001F7A9F"/>
    <w:rsid w:val="0021202A"/>
    <w:rsid w:val="002205A8"/>
    <w:rsid w:val="0023588B"/>
    <w:rsid w:val="00240CA7"/>
    <w:rsid w:val="00244BD6"/>
    <w:rsid w:val="002528E0"/>
    <w:rsid w:val="0025704A"/>
    <w:rsid w:val="00262C7E"/>
    <w:rsid w:val="00265518"/>
    <w:rsid w:val="00287442"/>
    <w:rsid w:val="002A0A4A"/>
    <w:rsid w:val="002A5845"/>
    <w:rsid w:val="002B5338"/>
    <w:rsid w:val="002C28BD"/>
    <w:rsid w:val="002E5D6B"/>
    <w:rsid w:val="002F3BB9"/>
    <w:rsid w:val="002F6162"/>
    <w:rsid w:val="00306B9A"/>
    <w:rsid w:val="003321D6"/>
    <w:rsid w:val="003337DB"/>
    <w:rsid w:val="00335A3B"/>
    <w:rsid w:val="00335EE4"/>
    <w:rsid w:val="003433B1"/>
    <w:rsid w:val="00343C4F"/>
    <w:rsid w:val="00344CC7"/>
    <w:rsid w:val="0034589D"/>
    <w:rsid w:val="00353337"/>
    <w:rsid w:val="00364F66"/>
    <w:rsid w:val="00380404"/>
    <w:rsid w:val="00380475"/>
    <w:rsid w:val="00397A36"/>
    <w:rsid w:val="003A2790"/>
    <w:rsid w:val="003C11FF"/>
    <w:rsid w:val="003D0CE4"/>
    <w:rsid w:val="003D532E"/>
    <w:rsid w:val="003F4255"/>
    <w:rsid w:val="00405C07"/>
    <w:rsid w:val="00422C1C"/>
    <w:rsid w:val="004358B6"/>
    <w:rsid w:val="00441899"/>
    <w:rsid w:val="00444568"/>
    <w:rsid w:val="00456B38"/>
    <w:rsid w:val="0047082A"/>
    <w:rsid w:val="00476249"/>
    <w:rsid w:val="00477A02"/>
    <w:rsid w:val="004B6043"/>
    <w:rsid w:val="004D7035"/>
    <w:rsid w:val="004E2B07"/>
    <w:rsid w:val="004F1A2E"/>
    <w:rsid w:val="004F1D93"/>
    <w:rsid w:val="005000C5"/>
    <w:rsid w:val="0050292F"/>
    <w:rsid w:val="00502E6F"/>
    <w:rsid w:val="005310A8"/>
    <w:rsid w:val="00543611"/>
    <w:rsid w:val="00554956"/>
    <w:rsid w:val="00557D0D"/>
    <w:rsid w:val="00564498"/>
    <w:rsid w:val="00570503"/>
    <w:rsid w:val="005A14E5"/>
    <w:rsid w:val="005A46BB"/>
    <w:rsid w:val="005A4F6B"/>
    <w:rsid w:val="005A501F"/>
    <w:rsid w:val="005B7FEE"/>
    <w:rsid w:val="005D3A03"/>
    <w:rsid w:val="005D4BBD"/>
    <w:rsid w:val="005F23F6"/>
    <w:rsid w:val="00613B1A"/>
    <w:rsid w:val="0061628B"/>
    <w:rsid w:val="00616575"/>
    <w:rsid w:val="006170DA"/>
    <w:rsid w:val="006337C7"/>
    <w:rsid w:val="00635E35"/>
    <w:rsid w:val="006705C1"/>
    <w:rsid w:val="00681B6F"/>
    <w:rsid w:val="0068479F"/>
    <w:rsid w:val="0068567D"/>
    <w:rsid w:val="006B574C"/>
    <w:rsid w:val="006D4896"/>
    <w:rsid w:val="006F35C7"/>
    <w:rsid w:val="006F3909"/>
    <w:rsid w:val="00702EA5"/>
    <w:rsid w:val="00704A44"/>
    <w:rsid w:val="00724137"/>
    <w:rsid w:val="00734EF3"/>
    <w:rsid w:val="00745972"/>
    <w:rsid w:val="00745FDC"/>
    <w:rsid w:val="007622B5"/>
    <w:rsid w:val="00771636"/>
    <w:rsid w:val="00775C99"/>
    <w:rsid w:val="00797942"/>
    <w:rsid w:val="007A21E0"/>
    <w:rsid w:val="007C1B4D"/>
    <w:rsid w:val="007E4441"/>
    <w:rsid w:val="008030EE"/>
    <w:rsid w:val="008226CE"/>
    <w:rsid w:val="008243CF"/>
    <w:rsid w:val="0083573C"/>
    <w:rsid w:val="00836DE8"/>
    <w:rsid w:val="008379D6"/>
    <w:rsid w:val="00853865"/>
    <w:rsid w:val="0086246F"/>
    <w:rsid w:val="00862DAB"/>
    <w:rsid w:val="00872E66"/>
    <w:rsid w:val="00876F0F"/>
    <w:rsid w:val="008770DA"/>
    <w:rsid w:val="00897488"/>
    <w:rsid w:val="008A22BA"/>
    <w:rsid w:val="008B1FFB"/>
    <w:rsid w:val="008B301D"/>
    <w:rsid w:val="008C55A3"/>
    <w:rsid w:val="008D2D54"/>
    <w:rsid w:val="008E3525"/>
    <w:rsid w:val="008E3A84"/>
    <w:rsid w:val="008E4F34"/>
    <w:rsid w:val="009038B9"/>
    <w:rsid w:val="00905CA4"/>
    <w:rsid w:val="0091739E"/>
    <w:rsid w:val="009A5AE8"/>
    <w:rsid w:val="009B53C6"/>
    <w:rsid w:val="009D2A43"/>
    <w:rsid w:val="009D3101"/>
    <w:rsid w:val="00A07712"/>
    <w:rsid w:val="00A23A2C"/>
    <w:rsid w:val="00A512CF"/>
    <w:rsid w:val="00A5407D"/>
    <w:rsid w:val="00A67DF9"/>
    <w:rsid w:val="00A70592"/>
    <w:rsid w:val="00A87EA6"/>
    <w:rsid w:val="00A93862"/>
    <w:rsid w:val="00A94BDF"/>
    <w:rsid w:val="00AC2D80"/>
    <w:rsid w:val="00AD29D4"/>
    <w:rsid w:val="00AF0138"/>
    <w:rsid w:val="00B10353"/>
    <w:rsid w:val="00B27E04"/>
    <w:rsid w:val="00B41790"/>
    <w:rsid w:val="00B55D6B"/>
    <w:rsid w:val="00B65552"/>
    <w:rsid w:val="00B71166"/>
    <w:rsid w:val="00B764F0"/>
    <w:rsid w:val="00B774FF"/>
    <w:rsid w:val="00B86548"/>
    <w:rsid w:val="00BB3E43"/>
    <w:rsid w:val="00BC5007"/>
    <w:rsid w:val="00BC614A"/>
    <w:rsid w:val="00BE5831"/>
    <w:rsid w:val="00C1136E"/>
    <w:rsid w:val="00C16C4F"/>
    <w:rsid w:val="00C17CD0"/>
    <w:rsid w:val="00C3285A"/>
    <w:rsid w:val="00C41C52"/>
    <w:rsid w:val="00C44E46"/>
    <w:rsid w:val="00C535DF"/>
    <w:rsid w:val="00C62F18"/>
    <w:rsid w:val="00C833E2"/>
    <w:rsid w:val="00C8697D"/>
    <w:rsid w:val="00C86A9C"/>
    <w:rsid w:val="00C9652D"/>
    <w:rsid w:val="00CA4C66"/>
    <w:rsid w:val="00CB5B02"/>
    <w:rsid w:val="00CC2D2F"/>
    <w:rsid w:val="00CD2204"/>
    <w:rsid w:val="00CE2F5D"/>
    <w:rsid w:val="00CF44CF"/>
    <w:rsid w:val="00D14A0C"/>
    <w:rsid w:val="00D20590"/>
    <w:rsid w:val="00D2212A"/>
    <w:rsid w:val="00D25735"/>
    <w:rsid w:val="00D26C96"/>
    <w:rsid w:val="00D37032"/>
    <w:rsid w:val="00D416B0"/>
    <w:rsid w:val="00D46E0B"/>
    <w:rsid w:val="00D63C37"/>
    <w:rsid w:val="00D63D4B"/>
    <w:rsid w:val="00D64E7A"/>
    <w:rsid w:val="00D82399"/>
    <w:rsid w:val="00D82418"/>
    <w:rsid w:val="00D83F22"/>
    <w:rsid w:val="00D8634F"/>
    <w:rsid w:val="00D863FB"/>
    <w:rsid w:val="00DB327E"/>
    <w:rsid w:val="00DB4B4D"/>
    <w:rsid w:val="00DB5D62"/>
    <w:rsid w:val="00DC0527"/>
    <w:rsid w:val="00DD15B6"/>
    <w:rsid w:val="00DD5921"/>
    <w:rsid w:val="00DD73F7"/>
    <w:rsid w:val="00DE397C"/>
    <w:rsid w:val="00E07433"/>
    <w:rsid w:val="00E21397"/>
    <w:rsid w:val="00E21564"/>
    <w:rsid w:val="00E4297A"/>
    <w:rsid w:val="00E47166"/>
    <w:rsid w:val="00E86E91"/>
    <w:rsid w:val="00EB63B0"/>
    <w:rsid w:val="00EC4EAF"/>
    <w:rsid w:val="00EF135E"/>
    <w:rsid w:val="00F25FF3"/>
    <w:rsid w:val="00F605F3"/>
    <w:rsid w:val="00F82F00"/>
    <w:rsid w:val="00F835F8"/>
    <w:rsid w:val="00F97714"/>
    <w:rsid w:val="00FA453E"/>
    <w:rsid w:val="00FD0878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42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ab"/>
    <w:rsid w:val="00067253"/>
    <w:pPr>
      <w:spacing w:after="120"/>
    </w:pPr>
  </w:style>
  <w:style w:type="paragraph" w:customStyle="1" w:styleId="ListParagraph">
    <w:name w:val="List Paragraph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styleId="ae">
    <w:name w:val="Title"/>
    <w:basedOn w:val="a"/>
    <w:link w:val="af"/>
    <w:qFormat/>
    <w:locked/>
    <w:rsid w:val="00E47166"/>
    <w:pPr>
      <w:autoSpaceDE/>
      <w:autoSpaceDN/>
      <w:jc w:val="center"/>
    </w:pPr>
    <w:rPr>
      <w:sz w:val="24"/>
      <w:lang w:val="x-none" w:eastAsia="x-none"/>
    </w:rPr>
  </w:style>
  <w:style w:type="character" w:customStyle="1" w:styleId="af">
    <w:name w:val="Название Знак"/>
    <w:link w:val="ae"/>
    <w:rsid w:val="00E47166"/>
    <w:rPr>
      <w:sz w:val="24"/>
    </w:rPr>
  </w:style>
  <w:style w:type="paragraph" w:styleId="22">
    <w:name w:val="Body Text 2"/>
    <w:basedOn w:val="a"/>
    <w:link w:val="23"/>
    <w:rsid w:val="005B7FE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FEE"/>
  </w:style>
  <w:style w:type="paragraph" w:styleId="24">
    <w:name w:val="Body Text Indent 2"/>
    <w:basedOn w:val="a"/>
    <w:link w:val="25"/>
    <w:uiPriority w:val="99"/>
    <w:unhideWhenUsed/>
    <w:rsid w:val="00745FDC"/>
    <w:pPr>
      <w:autoSpaceDE/>
      <w:autoSpaceDN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745FDC"/>
    <w:rPr>
      <w:sz w:val="24"/>
      <w:szCs w:val="24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Основной текст Знак Знак,текст таблицы Знак,Шаблон для отчетов по оценке Знак,Подпись1 Знак,QBody Text Знак,bt Знак Знак,BodyText Знак,Iiaienu1 Знак"/>
    <w:semiHidden/>
    <w:locked/>
    <w:rsid w:val="004D7035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4D7035"/>
    <w:pPr>
      <w:autoSpaceDE/>
      <w:autoSpaceDN/>
      <w:ind w:right="-40"/>
      <w:jc w:val="both"/>
    </w:pPr>
    <w:rPr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42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ab"/>
    <w:rsid w:val="00067253"/>
    <w:pPr>
      <w:spacing w:after="120"/>
    </w:pPr>
  </w:style>
  <w:style w:type="paragraph" w:customStyle="1" w:styleId="ListParagraph">
    <w:name w:val="List Paragraph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styleId="ae">
    <w:name w:val="Title"/>
    <w:basedOn w:val="a"/>
    <w:link w:val="af"/>
    <w:qFormat/>
    <w:locked/>
    <w:rsid w:val="00E47166"/>
    <w:pPr>
      <w:autoSpaceDE/>
      <w:autoSpaceDN/>
      <w:jc w:val="center"/>
    </w:pPr>
    <w:rPr>
      <w:sz w:val="24"/>
      <w:lang w:val="x-none" w:eastAsia="x-none"/>
    </w:rPr>
  </w:style>
  <w:style w:type="character" w:customStyle="1" w:styleId="af">
    <w:name w:val="Название Знак"/>
    <w:link w:val="ae"/>
    <w:rsid w:val="00E47166"/>
    <w:rPr>
      <w:sz w:val="24"/>
    </w:rPr>
  </w:style>
  <w:style w:type="paragraph" w:styleId="22">
    <w:name w:val="Body Text 2"/>
    <w:basedOn w:val="a"/>
    <w:link w:val="23"/>
    <w:rsid w:val="005B7FE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FEE"/>
  </w:style>
  <w:style w:type="paragraph" w:styleId="24">
    <w:name w:val="Body Text Indent 2"/>
    <w:basedOn w:val="a"/>
    <w:link w:val="25"/>
    <w:uiPriority w:val="99"/>
    <w:unhideWhenUsed/>
    <w:rsid w:val="00745FDC"/>
    <w:pPr>
      <w:autoSpaceDE/>
      <w:autoSpaceDN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745FDC"/>
    <w:rPr>
      <w:sz w:val="24"/>
      <w:szCs w:val="24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Основной текст Знак Знак,текст таблицы Знак,Шаблон для отчетов по оценке Знак,Подпись1 Знак,QBody Text Знак,bt Знак Знак,BodyText Знак,Iiaienu1 Знак"/>
    <w:semiHidden/>
    <w:locked/>
    <w:rsid w:val="004D7035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4D7035"/>
    <w:pPr>
      <w:autoSpaceDE/>
      <w:autoSpaceDN/>
      <w:ind w:right="-40"/>
      <w:jc w:val="both"/>
    </w:pPr>
    <w:rPr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z-rus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Rusal</Company>
  <LinksUpToDate>false</LinksUpToDate>
  <CharactersWithSpaces>8264</CharactersWithSpaces>
  <SharedDoc>false</SharedDoc>
  <HLinks>
    <vt:vector size="12" baseType="variant"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http://www.e-disclosure.ru/portal/company.aspx?id=838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http://www.braz-rusal.ru/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Admin</cp:lastModifiedBy>
  <cp:revision>2</cp:revision>
  <cp:lastPrinted>2012-11-19T10:32:00Z</cp:lastPrinted>
  <dcterms:created xsi:type="dcterms:W3CDTF">2016-04-26T18:28:00Z</dcterms:created>
  <dcterms:modified xsi:type="dcterms:W3CDTF">2016-04-26T18:28:00Z</dcterms:modified>
</cp:coreProperties>
</file>