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09" w:rsidRPr="00F63A09" w:rsidRDefault="00F63A09" w:rsidP="00F63A09">
      <w:pPr>
        <w:jc w:val="center"/>
        <w:rPr>
          <w:b/>
          <w:bCs/>
          <w:sz w:val="22"/>
          <w:szCs w:val="22"/>
        </w:rPr>
      </w:pPr>
      <w:r w:rsidRPr="00F63A09">
        <w:rPr>
          <w:b/>
          <w:bCs/>
          <w:sz w:val="22"/>
          <w:szCs w:val="22"/>
        </w:rPr>
        <w:t>Сообщение о существенном факте</w:t>
      </w:r>
    </w:p>
    <w:p w:rsidR="006F0EAC" w:rsidRDefault="00F63A09" w:rsidP="00F63A09">
      <w:pPr>
        <w:jc w:val="center"/>
        <w:rPr>
          <w:b/>
          <w:bCs/>
          <w:sz w:val="22"/>
          <w:szCs w:val="22"/>
        </w:rPr>
      </w:pPr>
      <w:r w:rsidRPr="00F63A09">
        <w:rPr>
          <w:b/>
          <w:bCs/>
          <w:sz w:val="22"/>
          <w:szCs w:val="22"/>
        </w:rPr>
        <w:t>об этапах процедуры эмиссии эмиссионных ценных бумаг эмитента</w:t>
      </w:r>
    </w:p>
    <w:p w:rsidR="00F63A09" w:rsidRPr="004037CC" w:rsidRDefault="00F63A09" w:rsidP="00F63A09">
      <w:pPr>
        <w:jc w:val="center"/>
        <w:rPr>
          <w:b/>
          <w:bCs/>
          <w:sz w:val="22"/>
          <w:szCs w:val="22"/>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15"/>
        <w:gridCol w:w="4961"/>
      </w:tblGrid>
      <w:tr w:rsidR="006149F0" w:rsidRPr="004037CC">
        <w:trPr>
          <w:cantSplit/>
        </w:trPr>
        <w:tc>
          <w:tcPr>
            <w:tcW w:w="9951" w:type="dxa"/>
            <w:gridSpan w:val="3"/>
          </w:tcPr>
          <w:p w:rsidR="006149F0" w:rsidRPr="004037CC" w:rsidRDefault="006149F0" w:rsidP="007631C3">
            <w:pPr>
              <w:jc w:val="center"/>
              <w:rPr>
                <w:sz w:val="22"/>
                <w:szCs w:val="22"/>
              </w:rPr>
            </w:pPr>
            <w:r w:rsidRPr="004037CC">
              <w:rPr>
                <w:sz w:val="22"/>
                <w:szCs w:val="22"/>
              </w:rPr>
              <w:t>1. Общие сведения</w:t>
            </w:r>
          </w:p>
        </w:tc>
      </w:tr>
      <w:tr w:rsidR="00DB7355" w:rsidRPr="004037CC" w:rsidTr="000963E5">
        <w:tc>
          <w:tcPr>
            <w:tcW w:w="4975" w:type="dxa"/>
          </w:tcPr>
          <w:p w:rsidR="00DB7355" w:rsidRPr="004037CC" w:rsidRDefault="00DB7355" w:rsidP="007631C3">
            <w:pPr>
              <w:ind w:left="57" w:right="57"/>
              <w:jc w:val="both"/>
              <w:rPr>
                <w:sz w:val="22"/>
                <w:szCs w:val="22"/>
              </w:rPr>
            </w:pPr>
            <w:r w:rsidRPr="004037CC">
              <w:rPr>
                <w:sz w:val="22"/>
                <w:szCs w:val="22"/>
              </w:rPr>
              <w:t>1.1. Полное фирменное наименование эмитента (для некоммерческой организации – наименование)</w:t>
            </w:r>
          </w:p>
        </w:tc>
        <w:tc>
          <w:tcPr>
            <w:tcW w:w="4976" w:type="dxa"/>
            <w:gridSpan w:val="2"/>
          </w:tcPr>
          <w:p w:rsidR="00DB7355" w:rsidRPr="004037CC" w:rsidRDefault="00DB7355" w:rsidP="0001074A">
            <w:pPr>
              <w:rPr>
                <w:b/>
                <w:bCs/>
                <w:i/>
                <w:iCs/>
                <w:sz w:val="22"/>
                <w:szCs w:val="22"/>
              </w:rPr>
            </w:pPr>
            <w:r w:rsidRPr="004037CC">
              <w:rPr>
                <w:b/>
                <w:bCs/>
                <w:i/>
                <w:iCs/>
                <w:sz w:val="22"/>
                <w:szCs w:val="22"/>
              </w:rPr>
              <w:t>Открытое акционерное общество «РУСАЛ Братский алюминиевый завод»</w:t>
            </w:r>
          </w:p>
        </w:tc>
      </w:tr>
      <w:tr w:rsidR="00DB7355" w:rsidRPr="004037CC" w:rsidTr="000963E5">
        <w:tc>
          <w:tcPr>
            <w:tcW w:w="4975" w:type="dxa"/>
          </w:tcPr>
          <w:p w:rsidR="00DB7355" w:rsidRPr="004037CC" w:rsidRDefault="00DB7355" w:rsidP="007631C3">
            <w:pPr>
              <w:ind w:left="57" w:right="57"/>
              <w:jc w:val="both"/>
              <w:rPr>
                <w:sz w:val="22"/>
                <w:szCs w:val="22"/>
              </w:rPr>
            </w:pPr>
            <w:r w:rsidRPr="004037CC">
              <w:rPr>
                <w:sz w:val="22"/>
                <w:szCs w:val="22"/>
              </w:rPr>
              <w:t>1.2. Сокращенное фирменное наименование эмитента</w:t>
            </w:r>
          </w:p>
        </w:tc>
        <w:tc>
          <w:tcPr>
            <w:tcW w:w="4976" w:type="dxa"/>
            <w:gridSpan w:val="2"/>
          </w:tcPr>
          <w:p w:rsidR="00DB7355" w:rsidRPr="004037CC" w:rsidRDefault="00DB7355" w:rsidP="0001074A">
            <w:pPr>
              <w:rPr>
                <w:b/>
                <w:bCs/>
                <w:i/>
                <w:iCs/>
                <w:sz w:val="22"/>
                <w:szCs w:val="22"/>
              </w:rPr>
            </w:pPr>
            <w:r w:rsidRPr="004037CC">
              <w:rPr>
                <w:b/>
                <w:bCs/>
                <w:i/>
                <w:iCs/>
                <w:sz w:val="22"/>
                <w:szCs w:val="22"/>
              </w:rPr>
              <w:t>ОАО «РУСАЛ Братск»</w:t>
            </w:r>
          </w:p>
        </w:tc>
      </w:tr>
      <w:tr w:rsidR="00DB7355" w:rsidRPr="004037CC" w:rsidTr="000963E5">
        <w:tc>
          <w:tcPr>
            <w:tcW w:w="4975" w:type="dxa"/>
          </w:tcPr>
          <w:p w:rsidR="00DB7355" w:rsidRPr="004037CC" w:rsidRDefault="00DB7355" w:rsidP="007631C3">
            <w:pPr>
              <w:ind w:left="57" w:right="57"/>
              <w:jc w:val="both"/>
              <w:rPr>
                <w:sz w:val="22"/>
                <w:szCs w:val="22"/>
              </w:rPr>
            </w:pPr>
            <w:r w:rsidRPr="004037CC">
              <w:rPr>
                <w:sz w:val="22"/>
                <w:szCs w:val="22"/>
              </w:rPr>
              <w:t>1.3. Место нахождения эмитента</w:t>
            </w:r>
          </w:p>
        </w:tc>
        <w:tc>
          <w:tcPr>
            <w:tcW w:w="4976" w:type="dxa"/>
            <w:gridSpan w:val="2"/>
          </w:tcPr>
          <w:p w:rsidR="00DB7355" w:rsidRPr="004037CC" w:rsidRDefault="00DB7355" w:rsidP="0001074A">
            <w:pPr>
              <w:rPr>
                <w:b/>
                <w:bCs/>
                <w:i/>
                <w:iCs/>
                <w:sz w:val="22"/>
                <w:szCs w:val="22"/>
              </w:rPr>
            </w:pPr>
            <w:r w:rsidRPr="004037CC">
              <w:rPr>
                <w:b/>
                <w:bCs/>
                <w:i/>
                <w:iCs/>
                <w:sz w:val="22"/>
                <w:szCs w:val="22"/>
              </w:rPr>
              <w:t>665716, Российская Федерация, Иркутская область, г. Братск</w:t>
            </w:r>
          </w:p>
        </w:tc>
      </w:tr>
      <w:tr w:rsidR="00DB7355" w:rsidRPr="004037CC" w:rsidTr="000963E5">
        <w:tc>
          <w:tcPr>
            <w:tcW w:w="4975" w:type="dxa"/>
          </w:tcPr>
          <w:p w:rsidR="00DB7355" w:rsidRPr="004037CC" w:rsidRDefault="00DB7355" w:rsidP="007631C3">
            <w:pPr>
              <w:ind w:left="57" w:right="57"/>
              <w:jc w:val="both"/>
              <w:rPr>
                <w:sz w:val="22"/>
                <w:szCs w:val="22"/>
              </w:rPr>
            </w:pPr>
            <w:r w:rsidRPr="004037CC">
              <w:rPr>
                <w:sz w:val="22"/>
                <w:szCs w:val="22"/>
              </w:rPr>
              <w:t>1.4. ОГРН эмитента</w:t>
            </w:r>
          </w:p>
        </w:tc>
        <w:tc>
          <w:tcPr>
            <w:tcW w:w="4976" w:type="dxa"/>
            <w:gridSpan w:val="2"/>
          </w:tcPr>
          <w:p w:rsidR="00DB7355" w:rsidRPr="004037CC" w:rsidRDefault="00DB7355" w:rsidP="0001074A">
            <w:pPr>
              <w:rPr>
                <w:b/>
                <w:bCs/>
                <w:i/>
                <w:iCs/>
                <w:sz w:val="22"/>
                <w:szCs w:val="22"/>
              </w:rPr>
            </w:pPr>
            <w:r w:rsidRPr="004037CC">
              <w:rPr>
                <w:b/>
                <w:bCs/>
                <w:i/>
                <w:iCs/>
                <w:sz w:val="22"/>
                <w:szCs w:val="22"/>
              </w:rPr>
              <w:t>1023800836377</w:t>
            </w:r>
          </w:p>
        </w:tc>
      </w:tr>
      <w:tr w:rsidR="00DB7355" w:rsidRPr="004037CC" w:rsidTr="000963E5">
        <w:tc>
          <w:tcPr>
            <w:tcW w:w="4975" w:type="dxa"/>
          </w:tcPr>
          <w:p w:rsidR="00DB7355" w:rsidRPr="004037CC" w:rsidRDefault="00DB7355" w:rsidP="007631C3">
            <w:pPr>
              <w:ind w:left="57" w:right="57"/>
              <w:jc w:val="both"/>
              <w:rPr>
                <w:sz w:val="22"/>
                <w:szCs w:val="22"/>
              </w:rPr>
            </w:pPr>
            <w:r w:rsidRPr="004037CC">
              <w:rPr>
                <w:sz w:val="22"/>
                <w:szCs w:val="22"/>
              </w:rPr>
              <w:t>1.5. ИНН эмитента</w:t>
            </w:r>
          </w:p>
        </w:tc>
        <w:tc>
          <w:tcPr>
            <w:tcW w:w="4976" w:type="dxa"/>
            <w:gridSpan w:val="2"/>
          </w:tcPr>
          <w:p w:rsidR="00DB7355" w:rsidRPr="004037CC" w:rsidRDefault="00DB7355" w:rsidP="0001074A">
            <w:pPr>
              <w:rPr>
                <w:b/>
                <w:bCs/>
                <w:i/>
                <w:iCs/>
                <w:sz w:val="22"/>
                <w:szCs w:val="22"/>
              </w:rPr>
            </w:pPr>
            <w:r w:rsidRPr="004037CC">
              <w:rPr>
                <w:b/>
                <w:bCs/>
                <w:i/>
                <w:iCs/>
                <w:sz w:val="22"/>
                <w:szCs w:val="22"/>
              </w:rPr>
              <w:t>3803100054</w:t>
            </w:r>
          </w:p>
        </w:tc>
      </w:tr>
      <w:tr w:rsidR="00DB7355" w:rsidRPr="004037CC" w:rsidTr="000963E5">
        <w:tc>
          <w:tcPr>
            <w:tcW w:w="4975" w:type="dxa"/>
          </w:tcPr>
          <w:p w:rsidR="00DB7355" w:rsidRPr="004037CC" w:rsidRDefault="00DB7355" w:rsidP="007631C3">
            <w:pPr>
              <w:ind w:left="57" w:right="57"/>
              <w:jc w:val="both"/>
              <w:rPr>
                <w:sz w:val="22"/>
                <w:szCs w:val="22"/>
              </w:rPr>
            </w:pPr>
            <w:r w:rsidRPr="004037CC">
              <w:rPr>
                <w:sz w:val="22"/>
                <w:szCs w:val="22"/>
              </w:rPr>
              <w:t>1.6.</w:t>
            </w:r>
            <w:r w:rsidRPr="004037CC">
              <w:rPr>
                <w:sz w:val="22"/>
                <w:szCs w:val="22"/>
                <w:lang w:val="en-US"/>
              </w:rPr>
              <w:t> </w:t>
            </w:r>
            <w:r w:rsidRPr="004037CC">
              <w:rPr>
                <w:sz w:val="22"/>
                <w:szCs w:val="22"/>
              </w:rPr>
              <w:t>Уникальный код эмитента, присвоенный регистрирующим органом</w:t>
            </w:r>
          </w:p>
        </w:tc>
        <w:tc>
          <w:tcPr>
            <w:tcW w:w="4976" w:type="dxa"/>
            <w:gridSpan w:val="2"/>
          </w:tcPr>
          <w:p w:rsidR="00DB7355" w:rsidRPr="004037CC" w:rsidRDefault="00DB7355" w:rsidP="0001074A">
            <w:pPr>
              <w:rPr>
                <w:b/>
                <w:bCs/>
                <w:i/>
                <w:iCs/>
                <w:sz w:val="22"/>
                <w:szCs w:val="22"/>
              </w:rPr>
            </w:pPr>
            <w:r w:rsidRPr="004037CC">
              <w:rPr>
                <w:b/>
                <w:bCs/>
                <w:i/>
                <w:iCs/>
                <w:sz w:val="22"/>
                <w:szCs w:val="22"/>
              </w:rPr>
              <w:t>20075-F</w:t>
            </w:r>
          </w:p>
        </w:tc>
      </w:tr>
      <w:tr w:rsidR="00DB7355" w:rsidRPr="004037CC">
        <w:tblPrEx>
          <w:tblLook w:val="00A0" w:firstRow="1" w:lastRow="0" w:firstColumn="1" w:lastColumn="0" w:noHBand="0" w:noVBand="0"/>
        </w:tblPrEx>
        <w:tc>
          <w:tcPr>
            <w:tcW w:w="4990" w:type="dxa"/>
            <w:gridSpan w:val="2"/>
          </w:tcPr>
          <w:p w:rsidR="00DB7355" w:rsidRPr="004037CC" w:rsidRDefault="00DB7355" w:rsidP="007631C3">
            <w:pPr>
              <w:ind w:left="57" w:right="57"/>
              <w:jc w:val="both"/>
              <w:rPr>
                <w:sz w:val="22"/>
                <w:szCs w:val="22"/>
              </w:rPr>
            </w:pPr>
            <w:r w:rsidRPr="004037CC">
              <w:rPr>
                <w:sz w:val="22"/>
                <w:szCs w:val="22"/>
              </w:rPr>
              <w:t>1.7.</w:t>
            </w:r>
            <w:r w:rsidRPr="004037CC">
              <w:rPr>
                <w:sz w:val="22"/>
                <w:szCs w:val="22"/>
                <w:lang w:val="en-US"/>
              </w:rPr>
              <w:t> </w:t>
            </w:r>
            <w:r w:rsidRPr="004037CC">
              <w:rPr>
                <w:sz w:val="22"/>
                <w:szCs w:val="22"/>
              </w:rPr>
              <w:t>Адрес страницы в сети Интернет, используемой эмитентом для раскрытия информации</w:t>
            </w:r>
          </w:p>
        </w:tc>
        <w:tc>
          <w:tcPr>
            <w:tcW w:w="4961" w:type="dxa"/>
          </w:tcPr>
          <w:p w:rsidR="00DB7355" w:rsidRPr="004037CC" w:rsidRDefault="00DB7355" w:rsidP="0001074A">
            <w:pPr>
              <w:rPr>
                <w:b/>
                <w:bCs/>
                <w:i/>
                <w:iCs/>
                <w:sz w:val="22"/>
                <w:szCs w:val="22"/>
              </w:rPr>
            </w:pPr>
            <w:r w:rsidRPr="004037CC">
              <w:rPr>
                <w:b/>
                <w:bCs/>
                <w:i/>
                <w:iCs/>
                <w:sz w:val="22"/>
                <w:szCs w:val="22"/>
              </w:rPr>
              <w:t xml:space="preserve">http://braz-rusal.ru/, http://www.e-disclosure.ru/portal/company.aspx?id=838 </w:t>
            </w:r>
          </w:p>
        </w:tc>
      </w:tr>
    </w:tbl>
    <w:p w:rsidR="00E21F46" w:rsidRPr="004037CC" w:rsidRDefault="00E21F46" w:rsidP="007631C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51"/>
      </w:tblGrid>
      <w:tr w:rsidR="006149F0" w:rsidRPr="004037CC">
        <w:tc>
          <w:tcPr>
            <w:tcW w:w="9951" w:type="dxa"/>
          </w:tcPr>
          <w:p w:rsidR="006149F0" w:rsidRDefault="006149F0" w:rsidP="007631C3">
            <w:pPr>
              <w:jc w:val="center"/>
              <w:rPr>
                <w:sz w:val="22"/>
                <w:szCs w:val="22"/>
                <w:lang w:val="en-US"/>
              </w:rPr>
            </w:pPr>
            <w:r w:rsidRPr="004037CC">
              <w:rPr>
                <w:sz w:val="22"/>
                <w:szCs w:val="22"/>
              </w:rPr>
              <w:t>2. Содержание сообщения</w:t>
            </w:r>
          </w:p>
          <w:p w:rsidR="00F63A09" w:rsidRPr="00F63A09" w:rsidRDefault="00F63A09" w:rsidP="007631C3">
            <w:pPr>
              <w:jc w:val="center"/>
              <w:rPr>
                <w:b/>
                <w:sz w:val="22"/>
                <w:szCs w:val="22"/>
              </w:rPr>
            </w:pPr>
            <w:r w:rsidRPr="00F63A09">
              <w:rPr>
                <w:b/>
                <w:sz w:val="22"/>
                <w:szCs w:val="22"/>
              </w:rPr>
              <w:t>«О начале размещения ценных бумаг»</w:t>
            </w:r>
          </w:p>
        </w:tc>
      </w:tr>
      <w:tr w:rsidR="006149F0" w:rsidRPr="004037CC">
        <w:tc>
          <w:tcPr>
            <w:tcW w:w="9951" w:type="dxa"/>
          </w:tcPr>
          <w:p w:rsidR="00F63A09" w:rsidRDefault="00F63A09" w:rsidP="00F63A09">
            <w:pPr>
              <w:pStyle w:val="ConsPlusNormal"/>
              <w:jc w:val="both"/>
              <w:rPr>
                <w:rFonts w:ascii="Times New Roman" w:hAnsi="Times New Roman" w:cs="Times New Roman"/>
              </w:rPr>
            </w:pPr>
            <w:r>
              <w:rPr>
                <w:rFonts w:ascii="Times New Roman" w:hAnsi="Times New Roman" w:cs="Times New Roman"/>
              </w:rPr>
              <w:t>2.1. В</w:t>
            </w:r>
            <w:r w:rsidRPr="0015527E">
              <w:rPr>
                <w:rFonts w:ascii="Times New Roman" w:hAnsi="Times New Roman" w:cs="Times New Roman"/>
              </w:rPr>
              <w:t>ид, категория (тип), серия и иные идентификационные признаки ценных бумаг</w:t>
            </w:r>
            <w:r w:rsidRPr="00F63A09">
              <w:rPr>
                <w:rFonts w:ascii="Times New Roman" w:hAnsi="Times New Roman" w:cs="Times New Roman"/>
              </w:rPr>
              <w:t>:</w:t>
            </w:r>
          </w:p>
          <w:p w:rsidR="00F63A09" w:rsidRPr="00F63A09" w:rsidRDefault="00F63A09" w:rsidP="00F63A09">
            <w:pPr>
              <w:pStyle w:val="ConsPlusNormal"/>
              <w:jc w:val="both"/>
              <w:rPr>
                <w:rFonts w:ascii="Times New Roman" w:hAnsi="Times New Roman" w:cs="Times New Roman"/>
              </w:rPr>
            </w:pPr>
            <w:r w:rsidRPr="00F63A09">
              <w:rPr>
                <w:rFonts w:ascii="Times New Roman" w:hAnsi="Times New Roman" w:cs="Times New Roman"/>
                <w:b/>
                <w:bCs/>
                <w:i/>
                <w:iCs/>
                <w:szCs w:val="22"/>
              </w:rPr>
              <w:t>Биржевые облигации неконвертируемые процентные документарные на предъявителя</w:t>
            </w:r>
            <w:r w:rsidRPr="00F63A09">
              <w:rPr>
                <w:rFonts w:ascii="Times New Roman" w:hAnsi="Times New Roman" w:cs="Times New Roman"/>
                <w:b/>
                <w:bCs/>
                <w:i/>
                <w:iCs/>
                <w:szCs w:val="22"/>
              </w:rPr>
              <w:br/>
              <w:t>с обязательным централизованным хранением с обеспечением серии БО-01, идентификационный номер 4B02-01-20075-F от «23» августа 2012г., ISIN не присвоен (далее – Биржевые облигации).</w:t>
            </w:r>
          </w:p>
          <w:p w:rsidR="00F63A09" w:rsidRPr="00F63A09" w:rsidRDefault="00F63A09" w:rsidP="00F63A09">
            <w:pPr>
              <w:pStyle w:val="ConsPlusNormal"/>
              <w:jc w:val="both"/>
              <w:rPr>
                <w:rFonts w:ascii="Times New Roman" w:hAnsi="Times New Roman" w:cs="Times New Roman"/>
              </w:rPr>
            </w:pPr>
          </w:p>
          <w:p w:rsidR="00F63A09" w:rsidRPr="004037CC" w:rsidRDefault="00F63A09" w:rsidP="00F63A09">
            <w:pPr>
              <w:ind w:right="57"/>
              <w:jc w:val="both"/>
              <w:rPr>
                <w:sz w:val="22"/>
                <w:szCs w:val="22"/>
              </w:rPr>
            </w:pPr>
            <w:r w:rsidRPr="00F63A09">
              <w:t>2</w:t>
            </w:r>
            <w:r>
              <w:t>.2. С</w:t>
            </w:r>
            <w:r w:rsidRPr="0015527E">
              <w:rPr>
                <w:sz w:val="22"/>
              </w:rPr>
              <w:t>рок погашения (для</w:t>
            </w:r>
            <w:r>
              <w:t xml:space="preserve"> облигаций и опционов эмитента)</w:t>
            </w:r>
            <w:r w:rsidRPr="00F63A09">
              <w:t>:</w:t>
            </w:r>
            <w:r>
              <w:t xml:space="preserve"> </w:t>
            </w:r>
            <w:r w:rsidRPr="004037CC">
              <w:rPr>
                <w:b/>
                <w:bCs/>
                <w:i/>
                <w:iCs/>
                <w:sz w:val="22"/>
                <w:szCs w:val="22"/>
              </w:rPr>
              <w:t xml:space="preserve">3 640 (Три тысячи шестьсот сороковой) день </w:t>
            </w:r>
            <w:proofErr w:type="gramStart"/>
            <w:r w:rsidRPr="004037CC">
              <w:rPr>
                <w:b/>
                <w:bCs/>
                <w:i/>
                <w:iCs/>
                <w:sz w:val="22"/>
                <w:szCs w:val="22"/>
              </w:rPr>
              <w:t>с даты начала</w:t>
            </w:r>
            <w:proofErr w:type="gramEnd"/>
            <w:r w:rsidRPr="004037CC">
              <w:rPr>
                <w:b/>
                <w:bCs/>
                <w:i/>
                <w:iCs/>
                <w:sz w:val="22"/>
                <w:szCs w:val="22"/>
              </w:rPr>
              <w:t xml:space="preserve"> размещения</w:t>
            </w:r>
            <w:r w:rsidRPr="004037CC">
              <w:rPr>
                <w:rStyle w:val="SUBST"/>
              </w:rPr>
              <w:t xml:space="preserve"> Биржевых облигаций.</w:t>
            </w:r>
          </w:p>
          <w:p w:rsidR="00F63A09" w:rsidRPr="00F63A09" w:rsidRDefault="00F63A09" w:rsidP="00F63A09">
            <w:pPr>
              <w:pStyle w:val="ConsPlusNormal"/>
              <w:jc w:val="both"/>
              <w:rPr>
                <w:rFonts w:ascii="Times New Roman" w:hAnsi="Times New Roman" w:cs="Times New Roman"/>
              </w:rPr>
            </w:pPr>
          </w:p>
          <w:p w:rsidR="00F63A09" w:rsidRDefault="00F63A09" w:rsidP="00F63A09">
            <w:pPr>
              <w:pStyle w:val="ConsPlusNormal"/>
              <w:jc w:val="both"/>
              <w:rPr>
                <w:rFonts w:ascii="Times New Roman" w:hAnsi="Times New Roman" w:cs="Times New Roman"/>
              </w:rPr>
            </w:pPr>
            <w:r>
              <w:rPr>
                <w:rFonts w:ascii="Times New Roman" w:hAnsi="Times New Roman" w:cs="Times New Roman"/>
              </w:rPr>
              <w:t>2.3. И</w:t>
            </w:r>
            <w:r w:rsidRPr="0015527E">
              <w:rPr>
                <w:rFonts w:ascii="Times New Roman" w:hAnsi="Times New Roman" w:cs="Times New Roman"/>
              </w:rPr>
              <w:t>дентификационный номер выпуска ценных бумаг и дата его присвоения</w:t>
            </w:r>
            <w:r w:rsidRPr="00F63A09">
              <w:rPr>
                <w:rFonts w:ascii="Times New Roman" w:hAnsi="Times New Roman" w:cs="Times New Roman"/>
              </w:rPr>
              <w:t>:</w:t>
            </w:r>
          </w:p>
          <w:p w:rsidR="00F63A09" w:rsidRPr="004037CC" w:rsidRDefault="00F63A09" w:rsidP="00F63A09">
            <w:pPr>
              <w:adjustRightInd w:val="0"/>
              <w:jc w:val="both"/>
              <w:outlineLvl w:val="3"/>
              <w:rPr>
                <w:b/>
                <w:i/>
                <w:sz w:val="22"/>
                <w:szCs w:val="22"/>
              </w:rPr>
            </w:pPr>
            <w:r w:rsidRPr="004037CC">
              <w:rPr>
                <w:b/>
                <w:bCs/>
                <w:i/>
                <w:iCs/>
                <w:sz w:val="22"/>
                <w:szCs w:val="22"/>
              </w:rPr>
              <w:t>4</w:t>
            </w:r>
            <w:r w:rsidRPr="004037CC">
              <w:rPr>
                <w:b/>
                <w:bCs/>
                <w:i/>
                <w:iCs/>
                <w:sz w:val="22"/>
                <w:szCs w:val="22"/>
                <w:lang w:val="en-US"/>
              </w:rPr>
              <w:t>B</w:t>
            </w:r>
            <w:r w:rsidRPr="004037CC">
              <w:rPr>
                <w:b/>
                <w:bCs/>
                <w:i/>
                <w:iCs/>
                <w:sz w:val="22"/>
                <w:szCs w:val="22"/>
              </w:rPr>
              <w:t>02-01-20075-</w:t>
            </w:r>
            <w:r w:rsidRPr="004037CC">
              <w:rPr>
                <w:b/>
                <w:bCs/>
                <w:i/>
                <w:iCs/>
                <w:sz w:val="22"/>
                <w:szCs w:val="22"/>
                <w:lang w:val="en-US"/>
              </w:rPr>
              <w:t>F</w:t>
            </w:r>
            <w:r w:rsidRPr="004037CC">
              <w:rPr>
                <w:b/>
                <w:bCs/>
                <w:i/>
                <w:iCs/>
                <w:sz w:val="22"/>
                <w:szCs w:val="22"/>
              </w:rPr>
              <w:t xml:space="preserve"> от «23» августа 2012г</w:t>
            </w:r>
            <w:r w:rsidRPr="004037CC">
              <w:rPr>
                <w:b/>
                <w:i/>
                <w:sz w:val="22"/>
                <w:szCs w:val="22"/>
              </w:rPr>
              <w:t xml:space="preserve">. </w:t>
            </w:r>
          </w:p>
          <w:p w:rsidR="00F63A09" w:rsidRPr="00F63A09" w:rsidRDefault="00F63A09" w:rsidP="00F63A09">
            <w:pPr>
              <w:pStyle w:val="ConsPlusNormal"/>
              <w:jc w:val="both"/>
              <w:rPr>
                <w:rFonts w:ascii="Times New Roman" w:hAnsi="Times New Roman" w:cs="Times New Roman"/>
              </w:rPr>
            </w:pPr>
          </w:p>
          <w:p w:rsidR="00F63A09" w:rsidRDefault="00F63A09" w:rsidP="00F63A09">
            <w:pPr>
              <w:pStyle w:val="ConsPlusNormal"/>
              <w:jc w:val="both"/>
              <w:rPr>
                <w:rFonts w:ascii="Times New Roman" w:hAnsi="Times New Roman" w:cs="Times New Roman"/>
              </w:rPr>
            </w:pPr>
            <w:r>
              <w:rPr>
                <w:rFonts w:ascii="Times New Roman" w:hAnsi="Times New Roman" w:cs="Times New Roman"/>
              </w:rPr>
              <w:t>2.4. Н</w:t>
            </w:r>
            <w:r w:rsidRPr="0015527E">
              <w:rPr>
                <w:rFonts w:ascii="Times New Roman" w:hAnsi="Times New Roman" w:cs="Times New Roman"/>
              </w:rPr>
              <w:t>аименование органа (орга</w:t>
            </w:r>
            <w:r>
              <w:rPr>
                <w:rFonts w:ascii="Times New Roman" w:hAnsi="Times New Roman" w:cs="Times New Roman"/>
              </w:rPr>
              <w:t xml:space="preserve">низации), присвоившего выпуску </w:t>
            </w:r>
            <w:r w:rsidRPr="0015527E">
              <w:rPr>
                <w:rFonts w:ascii="Times New Roman" w:hAnsi="Times New Roman" w:cs="Times New Roman"/>
              </w:rPr>
              <w:t>ценных</w:t>
            </w:r>
            <w:r>
              <w:rPr>
                <w:rFonts w:ascii="Times New Roman" w:hAnsi="Times New Roman" w:cs="Times New Roman"/>
              </w:rPr>
              <w:t xml:space="preserve"> бумаг идентификационный номер</w:t>
            </w:r>
            <w:r w:rsidRPr="00F63A09">
              <w:rPr>
                <w:rFonts w:ascii="Times New Roman" w:hAnsi="Times New Roman" w:cs="Times New Roman"/>
              </w:rPr>
              <w:t>:</w:t>
            </w:r>
          </w:p>
          <w:p w:rsidR="00F63A09" w:rsidRPr="004037CC" w:rsidRDefault="00F63A09" w:rsidP="00F63A09">
            <w:pPr>
              <w:ind w:right="57"/>
              <w:jc w:val="both"/>
              <w:rPr>
                <w:sz w:val="22"/>
                <w:szCs w:val="22"/>
              </w:rPr>
            </w:pPr>
            <w:r w:rsidRPr="004037CC">
              <w:rPr>
                <w:b/>
                <w:bCs/>
                <w:i/>
                <w:iCs/>
                <w:sz w:val="22"/>
                <w:szCs w:val="22"/>
              </w:rPr>
              <w:t>Закрытое акционерное общество «Фондовая биржа ММВБ».</w:t>
            </w:r>
          </w:p>
          <w:p w:rsidR="00F63A09" w:rsidRPr="00F63A09" w:rsidRDefault="00F63A09" w:rsidP="00F63A09">
            <w:pPr>
              <w:pStyle w:val="ConsPlusNormal"/>
              <w:jc w:val="both"/>
              <w:rPr>
                <w:rFonts w:ascii="Times New Roman" w:hAnsi="Times New Roman" w:cs="Times New Roman"/>
              </w:rPr>
            </w:pPr>
          </w:p>
          <w:p w:rsidR="00F63A09" w:rsidRDefault="00F63A09" w:rsidP="00F63A09">
            <w:pPr>
              <w:pStyle w:val="ConsPlusNormal"/>
              <w:jc w:val="both"/>
              <w:rPr>
                <w:rFonts w:ascii="Times New Roman" w:hAnsi="Times New Roman" w:cs="Times New Roman"/>
              </w:rPr>
            </w:pPr>
            <w:r>
              <w:rPr>
                <w:rFonts w:ascii="Times New Roman" w:hAnsi="Times New Roman" w:cs="Times New Roman"/>
              </w:rPr>
              <w:t>2.5. К</w:t>
            </w:r>
            <w:r w:rsidRPr="0015527E">
              <w:rPr>
                <w:rFonts w:ascii="Times New Roman" w:hAnsi="Times New Roman" w:cs="Times New Roman"/>
              </w:rPr>
              <w:t xml:space="preserve">оличество размещаемых ценных бумаг и номинальная стоимость (если наличие номинальной стоимости предусмотрено законодательством Российской </w:t>
            </w:r>
            <w:r>
              <w:rPr>
                <w:rFonts w:ascii="Times New Roman" w:hAnsi="Times New Roman" w:cs="Times New Roman"/>
              </w:rPr>
              <w:t>Федерации) каждой ценной бумаги</w:t>
            </w:r>
            <w:r w:rsidRPr="00F63A09">
              <w:rPr>
                <w:rFonts w:ascii="Times New Roman" w:hAnsi="Times New Roman" w:cs="Times New Roman"/>
              </w:rPr>
              <w:t>:</w:t>
            </w:r>
          </w:p>
          <w:p w:rsidR="00F63A09" w:rsidRPr="004037CC" w:rsidRDefault="00F63A09" w:rsidP="00F63A09">
            <w:pPr>
              <w:ind w:right="57"/>
              <w:jc w:val="both"/>
              <w:rPr>
                <w:sz w:val="22"/>
                <w:szCs w:val="22"/>
              </w:rPr>
            </w:pPr>
            <w:r w:rsidRPr="004037CC">
              <w:rPr>
                <w:b/>
                <w:bCs/>
                <w:i/>
                <w:iCs/>
                <w:sz w:val="22"/>
                <w:szCs w:val="22"/>
              </w:rPr>
              <w:t>10</w:t>
            </w:r>
            <w:r w:rsidRPr="004037CC">
              <w:rPr>
                <w:b/>
                <w:bCs/>
                <w:i/>
                <w:iCs/>
                <w:color w:val="000000"/>
                <w:sz w:val="22"/>
                <w:szCs w:val="22"/>
              </w:rPr>
              <w:t> 000 000 (Десять миллионов) штук номинальной стоимостью 1 000 (Одна тысяча) рублей каждая</w:t>
            </w:r>
            <w:r w:rsidRPr="004037CC">
              <w:rPr>
                <w:b/>
                <w:bCs/>
                <w:i/>
                <w:iCs/>
                <w:sz w:val="22"/>
                <w:szCs w:val="22"/>
              </w:rPr>
              <w:t>.</w:t>
            </w:r>
          </w:p>
          <w:p w:rsidR="00F63A09" w:rsidRPr="00F63A09" w:rsidRDefault="00F63A09" w:rsidP="00F63A09">
            <w:pPr>
              <w:pStyle w:val="ConsPlusNormal"/>
              <w:jc w:val="both"/>
              <w:rPr>
                <w:rFonts w:ascii="Times New Roman" w:hAnsi="Times New Roman" w:cs="Times New Roman"/>
              </w:rPr>
            </w:pPr>
          </w:p>
          <w:p w:rsidR="00F63A09" w:rsidRPr="00F63A09" w:rsidRDefault="00F63A09" w:rsidP="00F63A09">
            <w:pPr>
              <w:pStyle w:val="ConsPlusNormal"/>
              <w:jc w:val="both"/>
              <w:rPr>
                <w:rFonts w:ascii="Times New Roman" w:hAnsi="Times New Roman" w:cs="Times New Roman"/>
              </w:rPr>
            </w:pPr>
            <w:r>
              <w:rPr>
                <w:rFonts w:ascii="Times New Roman" w:hAnsi="Times New Roman" w:cs="Times New Roman"/>
              </w:rPr>
              <w:t>2.6. С</w:t>
            </w:r>
            <w:r w:rsidRPr="0015527E">
              <w:rPr>
                <w:rFonts w:ascii="Times New Roman" w:hAnsi="Times New Roman" w:cs="Times New Roman"/>
              </w:rPr>
              <w:t>пособ размещения ценных бумаг, а в случае размещения ценных бумаг посредством закрытой подписки также круг потенциальн</w:t>
            </w:r>
            <w:r>
              <w:rPr>
                <w:rFonts w:ascii="Times New Roman" w:hAnsi="Times New Roman" w:cs="Times New Roman"/>
              </w:rPr>
              <w:t>ых приобретателей ценных бумаг</w:t>
            </w:r>
            <w:r w:rsidRPr="00F63A09">
              <w:rPr>
                <w:rFonts w:ascii="Times New Roman" w:hAnsi="Times New Roman" w:cs="Times New Roman"/>
              </w:rPr>
              <w:t>:</w:t>
            </w:r>
          </w:p>
          <w:p w:rsidR="00171ECC" w:rsidRPr="004037CC" w:rsidRDefault="00171ECC" w:rsidP="00171ECC">
            <w:pPr>
              <w:ind w:right="57"/>
              <w:jc w:val="both"/>
              <w:rPr>
                <w:sz w:val="22"/>
                <w:szCs w:val="22"/>
              </w:rPr>
            </w:pPr>
            <w:r w:rsidRPr="004037CC">
              <w:rPr>
                <w:b/>
                <w:bCs/>
                <w:i/>
                <w:iCs/>
                <w:color w:val="000000"/>
                <w:sz w:val="22"/>
                <w:szCs w:val="22"/>
              </w:rPr>
              <w:t>открытая подписка</w:t>
            </w:r>
            <w:r w:rsidRPr="004037CC">
              <w:rPr>
                <w:b/>
                <w:bCs/>
                <w:i/>
                <w:iCs/>
                <w:sz w:val="22"/>
                <w:szCs w:val="22"/>
              </w:rPr>
              <w:t>.</w:t>
            </w:r>
          </w:p>
          <w:p w:rsidR="00F63A09" w:rsidRPr="00F63A09" w:rsidRDefault="00F63A09" w:rsidP="00F63A09">
            <w:pPr>
              <w:pStyle w:val="ConsPlusNormal"/>
              <w:jc w:val="both"/>
              <w:rPr>
                <w:rFonts w:ascii="Times New Roman" w:hAnsi="Times New Roman" w:cs="Times New Roman"/>
              </w:rPr>
            </w:pPr>
          </w:p>
          <w:p w:rsidR="00F63A09" w:rsidRDefault="00F63A09" w:rsidP="00F63A09">
            <w:pPr>
              <w:pStyle w:val="ConsPlusNormal"/>
              <w:jc w:val="both"/>
              <w:rPr>
                <w:rFonts w:ascii="Times New Roman" w:hAnsi="Times New Roman" w:cs="Times New Roman"/>
                <w:b/>
                <w:i/>
              </w:rPr>
            </w:pPr>
            <w:r>
              <w:rPr>
                <w:rFonts w:ascii="Times New Roman" w:hAnsi="Times New Roman" w:cs="Times New Roman"/>
              </w:rPr>
              <w:t>2.7. П</w:t>
            </w:r>
            <w:r w:rsidRPr="0015527E">
              <w:rPr>
                <w:rFonts w:ascii="Times New Roman" w:hAnsi="Times New Roman" w:cs="Times New Roman"/>
              </w:rPr>
              <w:t>редоставление акционерам (участникам) эмитента и (или) иным лицам преимущественного права приобретения ценных бумаг</w:t>
            </w:r>
            <w:r w:rsidRPr="00F63A09">
              <w:rPr>
                <w:rFonts w:ascii="Times New Roman" w:hAnsi="Times New Roman" w:cs="Times New Roman"/>
              </w:rPr>
              <w:t>:</w:t>
            </w:r>
            <w:r w:rsidR="00171ECC">
              <w:rPr>
                <w:rFonts w:ascii="Times New Roman" w:hAnsi="Times New Roman" w:cs="Times New Roman"/>
              </w:rPr>
              <w:t xml:space="preserve"> </w:t>
            </w:r>
            <w:r w:rsidR="00171ECC" w:rsidRPr="00171ECC">
              <w:rPr>
                <w:rFonts w:ascii="Times New Roman" w:hAnsi="Times New Roman" w:cs="Times New Roman"/>
                <w:b/>
                <w:i/>
              </w:rPr>
              <w:t>Преимущественное право приобретения ценных бумаг не предусмотрено.</w:t>
            </w:r>
          </w:p>
          <w:p w:rsidR="00171ECC" w:rsidRPr="00F63A09" w:rsidRDefault="00171ECC" w:rsidP="00F63A09">
            <w:pPr>
              <w:pStyle w:val="ConsPlusNormal"/>
              <w:jc w:val="both"/>
              <w:rPr>
                <w:rFonts w:ascii="Times New Roman" w:hAnsi="Times New Roman" w:cs="Times New Roman"/>
              </w:rPr>
            </w:pPr>
          </w:p>
          <w:p w:rsidR="00F63A09" w:rsidRPr="00F63A09" w:rsidRDefault="00F63A09" w:rsidP="00F63A09">
            <w:pPr>
              <w:pStyle w:val="ConsPlusNormal"/>
              <w:jc w:val="both"/>
              <w:rPr>
                <w:rFonts w:ascii="Times New Roman" w:hAnsi="Times New Roman" w:cs="Times New Roman"/>
              </w:rPr>
            </w:pPr>
            <w:r>
              <w:rPr>
                <w:rFonts w:ascii="Times New Roman" w:hAnsi="Times New Roman" w:cs="Times New Roman"/>
              </w:rPr>
              <w:t>2.8. Ц</w:t>
            </w:r>
            <w:r w:rsidRPr="0015527E">
              <w:rPr>
                <w:rFonts w:ascii="Times New Roman" w:hAnsi="Times New Roman" w:cs="Times New Roman"/>
              </w:rPr>
              <w:t>ена размещения ценных бумаг или порядок ее определения в виде формулы с переменными, значения которых не могут изменяться в зав</w:t>
            </w:r>
            <w:r>
              <w:rPr>
                <w:rFonts w:ascii="Times New Roman" w:hAnsi="Times New Roman" w:cs="Times New Roman"/>
              </w:rPr>
              <w:t>исимости от усмотрения эмитента</w:t>
            </w:r>
            <w:r w:rsidRPr="00F63A09">
              <w:rPr>
                <w:rFonts w:ascii="Times New Roman" w:hAnsi="Times New Roman" w:cs="Times New Roman"/>
              </w:rPr>
              <w:t>:</w:t>
            </w:r>
          </w:p>
          <w:p w:rsidR="00171ECC" w:rsidRPr="004037CC" w:rsidRDefault="00171ECC" w:rsidP="00171ECC">
            <w:pPr>
              <w:autoSpaceDE/>
              <w:autoSpaceDN/>
              <w:jc w:val="both"/>
              <w:rPr>
                <w:b/>
                <w:bCs/>
                <w:i/>
                <w:iCs/>
                <w:sz w:val="22"/>
                <w:szCs w:val="22"/>
                <w:lang w:eastAsia="en-US"/>
              </w:rPr>
            </w:pPr>
            <w:bookmarkStart w:id="0" w:name="_GoBack"/>
            <w:bookmarkEnd w:id="0"/>
            <w:r w:rsidRPr="004037CC">
              <w:rPr>
                <w:b/>
                <w:bCs/>
                <w:i/>
                <w:iCs/>
                <w:sz w:val="22"/>
                <w:szCs w:val="22"/>
                <w:lang w:eastAsia="en-US"/>
              </w:rPr>
              <w:t xml:space="preserve">Цена размещения Биржевых облигаций в первый и последующие дни размещения устанавливается в размере </w:t>
            </w:r>
            <w:r w:rsidRPr="004037CC">
              <w:rPr>
                <w:b/>
                <w:i/>
                <w:sz w:val="22"/>
                <w:szCs w:val="22"/>
                <w:lang w:eastAsia="en-US"/>
              </w:rPr>
              <w:t>100 (Сто) процентов от номинальной стоимости Биржевых облигаций - 1`000 (Одна тысяча) рублей за 1 (Одну)</w:t>
            </w:r>
            <w:r w:rsidRPr="004037CC">
              <w:rPr>
                <w:rFonts w:eastAsia="MS Mincho"/>
                <w:b/>
                <w:i/>
                <w:sz w:val="22"/>
                <w:szCs w:val="22"/>
                <w:lang w:eastAsia="en-US"/>
              </w:rPr>
              <w:t xml:space="preserve"> Биржевую облигацию</w:t>
            </w:r>
            <w:r w:rsidRPr="004037CC">
              <w:rPr>
                <w:b/>
                <w:i/>
                <w:sz w:val="22"/>
                <w:szCs w:val="22"/>
                <w:lang w:eastAsia="en-US"/>
              </w:rPr>
              <w:t xml:space="preserve">. </w:t>
            </w:r>
            <w:r w:rsidRPr="004037CC">
              <w:rPr>
                <w:b/>
                <w:bCs/>
                <w:i/>
                <w:iCs/>
                <w:sz w:val="22"/>
                <w:szCs w:val="22"/>
                <w:lang w:eastAsia="en-US"/>
              </w:rPr>
              <w:t xml:space="preserve">Начиная со 2-го (Второго) дня размещения Биржевых облигаций выпуска покупатель при совершении операции купли/продажи Биржевых облигаций также уплачивает накопленный купонный доход по Биржевым облигациям, рассчитанный </w:t>
            </w:r>
            <w:proofErr w:type="gramStart"/>
            <w:r w:rsidRPr="004037CC">
              <w:rPr>
                <w:b/>
                <w:bCs/>
                <w:i/>
                <w:iCs/>
                <w:sz w:val="22"/>
                <w:szCs w:val="22"/>
                <w:lang w:eastAsia="en-US"/>
              </w:rPr>
              <w:t>с даты начала</w:t>
            </w:r>
            <w:proofErr w:type="gramEnd"/>
            <w:r w:rsidRPr="004037CC">
              <w:rPr>
                <w:b/>
                <w:bCs/>
                <w:i/>
                <w:iCs/>
                <w:sz w:val="22"/>
                <w:szCs w:val="22"/>
                <w:lang w:eastAsia="en-US"/>
              </w:rPr>
              <w:t xml:space="preserve"> размещения Биржевых облигаций по следующей формуле:</w:t>
            </w:r>
          </w:p>
          <w:p w:rsidR="00171ECC" w:rsidRPr="004037CC" w:rsidRDefault="00171ECC" w:rsidP="00171ECC">
            <w:pPr>
              <w:autoSpaceDE/>
              <w:autoSpaceDN/>
              <w:ind w:firstLine="567"/>
              <w:jc w:val="both"/>
              <w:rPr>
                <w:b/>
                <w:i/>
                <w:sz w:val="22"/>
                <w:szCs w:val="22"/>
                <w:lang w:val="fr-FR" w:eastAsia="en-US"/>
              </w:rPr>
            </w:pPr>
            <w:r w:rsidRPr="004037CC">
              <w:rPr>
                <w:b/>
                <w:i/>
                <w:sz w:val="22"/>
                <w:szCs w:val="22"/>
                <w:lang w:eastAsia="en-US"/>
              </w:rPr>
              <w:t>НКД</w:t>
            </w:r>
            <w:r w:rsidRPr="004037CC">
              <w:rPr>
                <w:b/>
                <w:i/>
                <w:sz w:val="22"/>
                <w:szCs w:val="22"/>
                <w:lang w:val="fr-FR" w:eastAsia="en-US"/>
              </w:rPr>
              <w:t xml:space="preserve"> = Nom * C(1) * (T - T(0)) / 365 / 100%, </w:t>
            </w:r>
            <w:r w:rsidRPr="004037CC">
              <w:rPr>
                <w:b/>
                <w:i/>
                <w:sz w:val="22"/>
                <w:szCs w:val="22"/>
                <w:lang w:eastAsia="en-US"/>
              </w:rPr>
              <w:t>где</w:t>
            </w:r>
          </w:p>
          <w:p w:rsidR="00171ECC" w:rsidRPr="004037CC" w:rsidRDefault="00171ECC" w:rsidP="00171ECC">
            <w:pPr>
              <w:autoSpaceDE/>
              <w:autoSpaceDN/>
              <w:ind w:firstLine="567"/>
              <w:jc w:val="both"/>
              <w:rPr>
                <w:b/>
                <w:i/>
                <w:sz w:val="22"/>
                <w:szCs w:val="22"/>
                <w:lang w:eastAsia="en-US"/>
              </w:rPr>
            </w:pPr>
            <w:r w:rsidRPr="004037CC">
              <w:rPr>
                <w:b/>
                <w:i/>
                <w:sz w:val="22"/>
                <w:szCs w:val="22"/>
                <w:lang w:eastAsia="en-US"/>
              </w:rPr>
              <w:t xml:space="preserve">НКД - </w:t>
            </w:r>
            <w:r w:rsidRPr="004037CC">
              <w:rPr>
                <w:b/>
                <w:bCs/>
                <w:i/>
                <w:iCs/>
                <w:sz w:val="22"/>
                <w:szCs w:val="22"/>
                <w:lang w:eastAsia="en-US"/>
              </w:rPr>
              <w:t>накопленный купонный доход, руб.;</w:t>
            </w:r>
          </w:p>
          <w:p w:rsidR="00171ECC" w:rsidRPr="004037CC" w:rsidRDefault="00171ECC" w:rsidP="00171ECC">
            <w:pPr>
              <w:autoSpaceDE/>
              <w:autoSpaceDN/>
              <w:ind w:firstLine="567"/>
              <w:jc w:val="both"/>
              <w:rPr>
                <w:b/>
                <w:i/>
                <w:sz w:val="22"/>
                <w:szCs w:val="22"/>
                <w:lang w:eastAsia="en-US"/>
              </w:rPr>
            </w:pPr>
            <w:proofErr w:type="spellStart"/>
            <w:r w:rsidRPr="004037CC">
              <w:rPr>
                <w:b/>
                <w:i/>
                <w:sz w:val="22"/>
                <w:szCs w:val="22"/>
                <w:lang w:eastAsia="en-US"/>
              </w:rPr>
              <w:t>Nom</w:t>
            </w:r>
            <w:proofErr w:type="spellEnd"/>
            <w:r w:rsidRPr="004037CC">
              <w:rPr>
                <w:b/>
                <w:i/>
                <w:sz w:val="22"/>
                <w:szCs w:val="22"/>
                <w:lang w:eastAsia="en-US"/>
              </w:rPr>
              <w:t xml:space="preserve"> - </w:t>
            </w:r>
            <w:r w:rsidRPr="004037CC">
              <w:rPr>
                <w:b/>
                <w:bCs/>
                <w:i/>
                <w:iCs/>
                <w:sz w:val="22"/>
                <w:szCs w:val="22"/>
                <w:lang w:eastAsia="en-US"/>
              </w:rPr>
              <w:t>номинальная стоимость одной Биржевой облигации, руб.;</w:t>
            </w:r>
          </w:p>
          <w:p w:rsidR="00171ECC" w:rsidRPr="004037CC" w:rsidRDefault="00171ECC" w:rsidP="00171ECC">
            <w:pPr>
              <w:autoSpaceDE/>
              <w:autoSpaceDN/>
              <w:ind w:firstLine="567"/>
              <w:jc w:val="both"/>
              <w:rPr>
                <w:b/>
                <w:i/>
                <w:sz w:val="22"/>
                <w:szCs w:val="22"/>
                <w:lang w:eastAsia="en-US"/>
              </w:rPr>
            </w:pPr>
            <w:r w:rsidRPr="004037CC">
              <w:rPr>
                <w:b/>
                <w:i/>
                <w:sz w:val="22"/>
                <w:szCs w:val="22"/>
                <w:lang w:eastAsia="en-US"/>
              </w:rPr>
              <w:t xml:space="preserve">С(1) - </w:t>
            </w:r>
            <w:r w:rsidRPr="004037CC">
              <w:rPr>
                <w:b/>
                <w:bCs/>
                <w:i/>
                <w:iCs/>
                <w:sz w:val="22"/>
                <w:szCs w:val="22"/>
                <w:lang w:eastAsia="en-US"/>
              </w:rPr>
              <w:t>величина процентной ставки 1-го купона в процентах годовых</w:t>
            </w:r>
            <w:proofErr w:type="gramStart"/>
            <w:r w:rsidRPr="004037CC">
              <w:rPr>
                <w:b/>
                <w:bCs/>
                <w:i/>
                <w:iCs/>
                <w:sz w:val="22"/>
                <w:szCs w:val="22"/>
                <w:lang w:eastAsia="en-US"/>
              </w:rPr>
              <w:t xml:space="preserve"> (%);</w:t>
            </w:r>
            <w:proofErr w:type="gramEnd"/>
          </w:p>
          <w:p w:rsidR="00171ECC" w:rsidRPr="004037CC" w:rsidRDefault="00171ECC" w:rsidP="00171ECC">
            <w:pPr>
              <w:autoSpaceDE/>
              <w:autoSpaceDN/>
              <w:ind w:firstLine="567"/>
              <w:jc w:val="both"/>
              <w:rPr>
                <w:b/>
                <w:i/>
                <w:sz w:val="22"/>
                <w:szCs w:val="22"/>
                <w:lang w:eastAsia="en-US"/>
              </w:rPr>
            </w:pPr>
            <w:r w:rsidRPr="004037CC">
              <w:rPr>
                <w:b/>
                <w:i/>
                <w:sz w:val="22"/>
                <w:szCs w:val="22"/>
                <w:lang w:eastAsia="en-US"/>
              </w:rPr>
              <w:t xml:space="preserve">T – </w:t>
            </w:r>
            <w:r w:rsidRPr="004037CC">
              <w:rPr>
                <w:b/>
                <w:bCs/>
                <w:i/>
                <w:iCs/>
                <w:sz w:val="22"/>
                <w:szCs w:val="22"/>
                <w:lang w:eastAsia="en-US"/>
              </w:rPr>
              <w:t>текущая дата размещения Биржевых облигаций;</w:t>
            </w:r>
          </w:p>
          <w:p w:rsidR="00171ECC" w:rsidRPr="004037CC" w:rsidRDefault="00171ECC" w:rsidP="00171ECC">
            <w:pPr>
              <w:autoSpaceDE/>
              <w:autoSpaceDN/>
              <w:ind w:firstLine="567"/>
              <w:jc w:val="both"/>
              <w:rPr>
                <w:b/>
                <w:i/>
                <w:sz w:val="22"/>
                <w:szCs w:val="22"/>
                <w:lang w:eastAsia="en-US"/>
              </w:rPr>
            </w:pPr>
            <w:r w:rsidRPr="004037CC">
              <w:rPr>
                <w:b/>
                <w:i/>
                <w:sz w:val="22"/>
                <w:szCs w:val="22"/>
                <w:lang w:eastAsia="en-US"/>
              </w:rPr>
              <w:lastRenderedPageBreak/>
              <w:t xml:space="preserve">T(0) - </w:t>
            </w:r>
            <w:r w:rsidRPr="004037CC">
              <w:rPr>
                <w:b/>
                <w:bCs/>
                <w:i/>
                <w:iCs/>
                <w:sz w:val="22"/>
                <w:szCs w:val="22"/>
                <w:lang w:eastAsia="en-US"/>
              </w:rPr>
              <w:t>дата начала размещения Биржевых облигаций.</w:t>
            </w:r>
          </w:p>
          <w:p w:rsidR="00171ECC" w:rsidRPr="004037CC" w:rsidRDefault="00171ECC" w:rsidP="00171ECC">
            <w:pPr>
              <w:autoSpaceDE/>
              <w:autoSpaceDN/>
              <w:jc w:val="both"/>
              <w:rPr>
                <w:b/>
                <w:bCs/>
                <w:i/>
                <w:iCs/>
                <w:sz w:val="22"/>
                <w:szCs w:val="22"/>
                <w:lang w:val="x-none" w:eastAsia="en-US"/>
              </w:rPr>
            </w:pPr>
            <w:r w:rsidRPr="004037CC">
              <w:rPr>
                <w:b/>
                <w:i/>
                <w:sz w:val="22"/>
                <w:szCs w:val="22"/>
                <w:lang w:val="x-none" w:eastAsia="en-US"/>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171ECC" w:rsidRPr="00171ECC" w:rsidRDefault="00171ECC" w:rsidP="00F63A09">
            <w:pPr>
              <w:pStyle w:val="ConsPlusNormal"/>
              <w:jc w:val="both"/>
              <w:rPr>
                <w:rFonts w:ascii="Times New Roman" w:hAnsi="Times New Roman" w:cs="Times New Roman"/>
                <w:lang w:val="x-none"/>
              </w:rPr>
            </w:pPr>
          </w:p>
          <w:p w:rsidR="00171ECC" w:rsidRPr="00171ECC" w:rsidRDefault="00F63A09" w:rsidP="00171ECC">
            <w:pPr>
              <w:ind w:right="57"/>
              <w:jc w:val="both"/>
              <w:rPr>
                <w:b/>
                <w:bCs/>
                <w:i/>
                <w:iCs/>
                <w:sz w:val="22"/>
                <w:szCs w:val="22"/>
              </w:rPr>
            </w:pPr>
            <w:r w:rsidRPr="00171ECC">
              <w:rPr>
                <w:sz w:val="22"/>
                <w:szCs w:val="22"/>
              </w:rPr>
              <w:t>2.9. Д</w:t>
            </w:r>
            <w:r w:rsidRPr="00171ECC">
              <w:rPr>
                <w:sz w:val="22"/>
                <w:szCs w:val="22"/>
              </w:rPr>
              <w:t>ата начала размещения ценных бумаг (дата, с которой могут совершаться действия, являю</w:t>
            </w:r>
            <w:r w:rsidRPr="00171ECC">
              <w:rPr>
                <w:sz w:val="22"/>
                <w:szCs w:val="22"/>
              </w:rPr>
              <w:t>щиеся размещением ценных бумаг):</w:t>
            </w:r>
            <w:r w:rsidR="00171ECC" w:rsidRPr="00171ECC">
              <w:rPr>
                <w:b/>
                <w:bCs/>
                <w:i/>
                <w:iCs/>
                <w:sz w:val="22"/>
                <w:szCs w:val="22"/>
              </w:rPr>
              <w:t xml:space="preserve"> </w:t>
            </w:r>
            <w:r w:rsidR="00171ECC" w:rsidRPr="00171ECC">
              <w:rPr>
                <w:b/>
                <w:bCs/>
                <w:i/>
                <w:iCs/>
                <w:sz w:val="22"/>
                <w:szCs w:val="22"/>
              </w:rPr>
              <w:t>«19» апреля 2016 года.</w:t>
            </w:r>
          </w:p>
          <w:p w:rsidR="00F63A09" w:rsidRPr="00F63A09" w:rsidRDefault="00F63A09" w:rsidP="00F63A09">
            <w:pPr>
              <w:pStyle w:val="ConsPlusNormal"/>
              <w:jc w:val="both"/>
              <w:rPr>
                <w:rFonts w:ascii="Times New Roman" w:hAnsi="Times New Roman" w:cs="Times New Roman"/>
              </w:rPr>
            </w:pPr>
          </w:p>
          <w:p w:rsidR="00F63A09" w:rsidRPr="00F63A09" w:rsidRDefault="00F63A09" w:rsidP="00F63A09">
            <w:pPr>
              <w:pStyle w:val="ConsPlusNormal"/>
              <w:jc w:val="both"/>
              <w:rPr>
                <w:rFonts w:ascii="Times New Roman" w:hAnsi="Times New Roman" w:cs="Times New Roman"/>
              </w:rPr>
            </w:pPr>
            <w:r>
              <w:rPr>
                <w:rFonts w:ascii="Times New Roman" w:hAnsi="Times New Roman" w:cs="Times New Roman"/>
              </w:rPr>
              <w:t>2.10. Д</w:t>
            </w:r>
            <w:r w:rsidRPr="0015527E">
              <w:rPr>
                <w:rFonts w:ascii="Times New Roman" w:hAnsi="Times New Roman" w:cs="Times New Roman"/>
              </w:rPr>
              <w:t>ата окончания размещения ценных б</w:t>
            </w:r>
            <w:r>
              <w:rPr>
                <w:rFonts w:ascii="Times New Roman" w:hAnsi="Times New Roman" w:cs="Times New Roman"/>
              </w:rPr>
              <w:t>умаг или порядок ее определения</w:t>
            </w:r>
            <w:r w:rsidRPr="00F63A09">
              <w:rPr>
                <w:rFonts w:ascii="Times New Roman" w:hAnsi="Times New Roman" w:cs="Times New Roman"/>
              </w:rPr>
              <w:t>:</w:t>
            </w:r>
          </w:p>
          <w:p w:rsidR="00593152" w:rsidRPr="004037CC" w:rsidRDefault="00593152" w:rsidP="00593152">
            <w:pPr>
              <w:adjustRightInd w:val="0"/>
              <w:ind w:firstLine="539"/>
              <w:jc w:val="both"/>
              <w:rPr>
                <w:b/>
                <w:i/>
                <w:sz w:val="22"/>
                <w:szCs w:val="22"/>
              </w:rPr>
            </w:pPr>
            <w:r w:rsidRPr="004037CC">
              <w:rPr>
                <w:b/>
                <w:i/>
                <w:sz w:val="22"/>
                <w:szCs w:val="22"/>
              </w:rPr>
              <w:t>Датой окончания размещения Биржевых облигаций является более ранняя из следующих дат:</w:t>
            </w:r>
          </w:p>
          <w:p w:rsidR="00593152" w:rsidRPr="004037CC" w:rsidRDefault="00593152" w:rsidP="00593152">
            <w:pPr>
              <w:adjustRightInd w:val="0"/>
              <w:ind w:firstLine="539"/>
              <w:jc w:val="both"/>
              <w:rPr>
                <w:b/>
                <w:i/>
                <w:sz w:val="22"/>
                <w:szCs w:val="22"/>
              </w:rPr>
            </w:pPr>
            <w:r w:rsidRPr="004037CC">
              <w:rPr>
                <w:b/>
                <w:i/>
                <w:sz w:val="22"/>
                <w:szCs w:val="22"/>
              </w:rPr>
              <w:t xml:space="preserve">а) </w:t>
            </w:r>
            <w:r w:rsidR="00C41FBF" w:rsidRPr="004037CC">
              <w:rPr>
                <w:b/>
                <w:i/>
                <w:sz w:val="22"/>
                <w:szCs w:val="22"/>
              </w:rPr>
              <w:t>5</w:t>
            </w:r>
            <w:r w:rsidRPr="004037CC">
              <w:rPr>
                <w:b/>
                <w:i/>
                <w:sz w:val="22"/>
                <w:szCs w:val="22"/>
              </w:rPr>
              <w:t>-й (</w:t>
            </w:r>
            <w:r w:rsidR="00C41FBF" w:rsidRPr="004037CC">
              <w:rPr>
                <w:b/>
                <w:i/>
                <w:sz w:val="22"/>
                <w:szCs w:val="22"/>
              </w:rPr>
              <w:t>Пятый</w:t>
            </w:r>
            <w:r w:rsidRPr="004037CC">
              <w:rPr>
                <w:b/>
                <w:i/>
                <w:sz w:val="22"/>
                <w:szCs w:val="22"/>
              </w:rPr>
              <w:t xml:space="preserve">) рабочий день </w:t>
            </w:r>
            <w:proofErr w:type="gramStart"/>
            <w:r w:rsidRPr="004037CC">
              <w:rPr>
                <w:b/>
                <w:i/>
                <w:sz w:val="22"/>
                <w:szCs w:val="22"/>
              </w:rPr>
              <w:t>с даты начала</w:t>
            </w:r>
            <w:proofErr w:type="gramEnd"/>
            <w:r w:rsidRPr="004037CC">
              <w:rPr>
                <w:b/>
                <w:i/>
                <w:sz w:val="22"/>
                <w:szCs w:val="22"/>
              </w:rPr>
              <w:t xml:space="preserve"> размещения Биржевых облигаций;</w:t>
            </w:r>
          </w:p>
          <w:p w:rsidR="00593152" w:rsidRPr="004037CC" w:rsidRDefault="00593152" w:rsidP="00593152">
            <w:pPr>
              <w:adjustRightInd w:val="0"/>
              <w:ind w:firstLine="539"/>
              <w:jc w:val="both"/>
              <w:rPr>
                <w:b/>
                <w:i/>
                <w:sz w:val="22"/>
                <w:szCs w:val="22"/>
              </w:rPr>
            </w:pPr>
            <w:r w:rsidRPr="004037CC">
              <w:rPr>
                <w:b/>
                <w:i/>
                <w:sz w:val="22"/>
                <w:szCs w:val="22"/>
              </w:rPr>
              <w:t>б) дата размещения последней Биржевой облигации выпуска.</w:t>
            </w:r>
          </w:p>
          <w:p w:rsidR="009A22B4" w:rsidRPr="004037CC" w:rsidRDefault="00593152" w:rsidP="00593152">
            <w:pPr>
              <w:adjustRightInd w:val="0"/>
              <w:ind w:firstLine="539"/>
              <w:jc w:val="both"/>
              <w:rPr>
                <w:b/>
                <w:i/>
                <w:sz w:val="22"/>
                <w:szCs w:val="22"/>
              </w:rPr>
            </w:pPr>
            <w:r w:rsidRPr="004037CC">
              <w:rPr>
                <w:b/>
                <w:i/>
                <w:sz w:val="22"/>
                <w:szCs w:val="22"/>
              </w:rPr>
              <w:t>Выпуск Биржевых облигаций не предполагается размещать траншами.</w:t>
            </w:r>
          </w:p>
        </w:tc>
      </w:tr>
    </w:tbl>
    <w:p w:rsidR="00A275D3" w:rsidRPr="004037CC" w:rsidRDefault="00A275D3" w:rsidP="00A275D3">
      <w:pPr>
        <w:tabs>
          <w:tab w:val="center" w:pos="4153"/>
          <w:tab w:val="right" w:pos="8306"/>
        </w:tabs>
        <w:rPr>
          <w:sz w:val="22"/>
          <w:szCs w:val="22"/>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448"/>
        <w:gridCol w:w="293"/>
        <w:gridCol w:w="1318"/>
        <w:gridCol w:w="415"/>
        <w:gridCol w:w="604"/>
        <w:gridCol w:w="412"/>
        <w:gridCol w:w="1984"/>
        <w:gridCol w:w="851"/>
        <w:gridCol w:w="2437"/>
        <w:gridCol w:w="76"/>
      </w:tblGrid>
      <w:tr w:rsidR="00A275D3" w:rsidRPr="004037CC" w:rsidTr="00096007">
        <w:trPr>
          <w:cantSplit/>
          <w:trHeight w:val="348"/>
        </w:trPr>
        <w:tc>
          <w:tcPr>
            <w:tcW w:w="10324" w:type="dxa"/>
            <w:gridSpan w:val="11"/>
            <w:tcBorders>
              <w:top w:val="single" w:sz="4" w:space="0" w:color="auto"/>
              <w:left w:val="single" w:sz="4" w:space="0" w:color="auto"/>
              <w:bottom w:val="single" w:sz="4" w:space="0" w:color="auto"/>
              <w:right w:val="single" w:sz="4" w:space="0" w:color="auto"/>
            </w:tcBorders>
          </w:tcPr>
          <w:p w:rsidR="00A275D3" w:rsidRPr="004037CC" w:rsidRDefault="00A275D3" w:rsidP="00A275D3">
            <w:pPr>
              <w:jc w:val="center"/>
              <w:rPr>
                <w:sz w:val="22"/>
                <w:szCs w:val="22"/>
              </w:rPr>
            </w:pPr>
            <w:r w:rsidRPr="004037CC">
              <w:rPr>
                <w:sz w:val="22"/>
                <w:szCs w:val="22"/>
              </w:rPr>
              <w:t>3. Подпись</w:t>
            </w:r>
          </w:p>
        </w:tc>
      </w:tr>
      <w:tr w:rsidR="00A275D3" w:rsidRPr="004037CC" w:rsidTr="00096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76" w:type="dxa"/>
            <w:gridSpan w:val="7"/>
            <w:tcBorders>
              <w:top w:val="single" w:sz="4" w:space="0" w:color="auto"/>
              <w:left w:val="single" w:sz="4" w:space="0" w:color="auto"/>
              <w:bottom w:val="nil"/>
              <w:right w:val="nil"/>
            </w:tcBorders>
            <w:vAlign w:val="bottom"/>
          </w:tcPr>
          <w:p w:rsidR="00A275D3" w:rsidRPr="004037CC" w:rsidRDefault="00A275D3" w:rsidP="00DB7355">
            <w:pPr>
              <w:ind w:left="142"/>
              <w:rPr>
                <w:sz w:val="22"/>
                <w:szCs w:val="22"/>
              </w:rPr>
            </w:pPr>
            <w:r w:rsidRPr="004037CC">
              <w:rPr>
                <w:sz w:val="22"/>
                <w:szCs w:val="22"/>
              </w:rPr>
              <w:t xml:space="preserve">3.1. </w:t>
            </w:r>
            <w:r w:rsidR="00DB7355" w:rsidRPr="004037CC">
              <w:rPr>
                <w:sz w:val="22"/>
                <w:szCs w:val="22"/>
              </w:rPr>
              <w:t>Управляющий директор ОАО «РУСАЛ Братск»</w:t>
            </w:r>
          </w:p>
        </w:tc>
        <w:tc>
          <w:tcPr>
            <w:tcW w:w="1984" w:type="dxa"/>
            <w:tcBorders>
              <w:top w:val="single" w:sz="4" w:space="0" w:color="auto"/>
              <w:left w:val="nil"/>
              <w:bottom w:val="single" w:sz="4" w:space="0" w:color="auto"/>
              <w:right w:val="nil"/>
            </w:tcBorders>
            <w:vAlign w:val="bottom"/>
          </w:tcPr>
          <w:p w:rsidR="00A275D3" w:rsidRPr="004037CC" w:rsidRDefault="00A275D3" w:rsidP="00A275D3">
            <w:pPr>
              <w:ind w:left="142"/>
              <w:jc w:val="center"/>
              <w:rPr>
                <w:sz w:val="22"/>
                <w:szCs w:val="22"/>
              </w:rPr>
            </w:pPr>
          </w:p>
        </w:tc>
        <w:tc>
          <w:tcPr>
            <w:tcW w:w="851" w:type="dxa"/>
            <w:tcBorders>
              <w:top w:val="single" w:sz="4" w:space="0" w:color="auto"/>
              <w:left w:val="nil"/>
              <w:bottom w:val="nil"/>
              <w:right w:val="nil"/>
            </w:tcBorders>
            <w:vAlign w:val="bottom"/>
          </w:tcPr>
          <w:p w:rsidR="00A275D3" w:rsidRPr="004037CC" w:rsidRDefault="00A275D3" w:rsidP="00A275D3">
            <w:pPr>
              <w:rPr>
                <w:sz w:val="22"/>
                <w:szCs w:val="22"/>
              </w:rPr>
            </w:pPr>
          </w:p>
        </w:tc>
        <w:tc>
          <w:tcPr>
            <w:tcW w:w="2437" w:type="dxa"/>
            <w:tcBorders>
              <w:top w:val="single" w:sz="4" w:space="0" w:color="auto"/>
              <w:left w:val="nil"/>
              <w:bottom w:val="nil"/>
              <w:right w:val="nil"/>
            </w:tcBorders>
            <w:vAlign w:val="bottom"/>
          </w:tcPr>
          <w:p w:rsidR="00A275D3" w:rsidRPr="004037CC" w:rsidRDefault="00A275D3" w:rsidP="00DB7355">
            <w:pPr>
              <w:rPr>
                <w:sz w:val="22"/>
                <w:szCs w:val="22"/>
              </w:rPr>
            </w:pPr>
            <w:r w:rsidRPr="004037CC">
              <w:rPr>
                <w:sz w:val="22"/>
                <w:szCs w:val="22"/>
              </w:rPr>
              <w:t xml:space="preserve">Е.Ю. </w:t>
            </w:r>
            <w:r w:rsidR="00DB7355" w:rsidRPr="004037CC">
              <w:rPr>
                <w:sz w:val="22"/>
                <w:szCs w:val="22"/>
              </w:rPr>
              <w:t>Зенкин</w:t>
            </w:r>
          </w:p>
        </w:tc>
        <w:tc>
          <w:tcPr>
            <w:tcW w:w="76" w:type="dxa"/>
            <w:tcBorders>
              <w:top w:val="single" w:sz="4" w:space="0" w:color="auto"/>
              <w:left w:val="nil"/>
              <w:bottom w:val="nil"/>
              <w:right w:val="single" w:sz="4" w:space="0" w:color="auto"/>
            </w:tcBorders>
            <w:vAlign w:val="bottom"/>
          </w:tcPr>
          <w:p w:rsidR="00A275D3" w:rsidRPr="004037CC" w:rsidRDefault="00A275D3" w:rsidP="00A275D3">
            <w:pPr>
              <w:rPr>
                <w:sz w:val="22"/>
                <w:szCs w:val="22"/>
              </w:rPr>
            </w:pPr>
          </w:p>
        </w:tc>
      </w:tr>
      <w:tr w:rsidR="00A275D3" w:rsidRPr="004037CC" w:rsidTr="00096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3"/>
        </w:trPr>
        <w:tc>
          <w:tcPr>
            <w:tcW w:w="4976" w:type="dxa"/>
            <w:gridSpan w:val="7"/>
            <w:tcBorders>
              <w:top w:val="nil"/>
              <w:left w:val="single" w:sz="4" w:space="0" w:color="auto"/>
              <w:bottom w:val="nil"/>
              <w:right w:val="nil"/>
            </w:tcBorders>
          </w:tcPr>
          <w:p w:rsidR="00A275D3" w:rsidRPr="004037CC" w:rsidRDefault="00A275D3" w:rsidP="00A275D3">
            <w:pPr>
              <w:ind w:left="142"/>
              <w:rPr>
                <w:sz w:val="22"/>
                <w:szCs w:val="22"/>
              </w:rPr>
            </w:pPr>
          </w:p>
        </w:tc>
        <w:tc>
          <w:tcPr>
            <w:tcW w:w="1984" w:type="dxa"/>
            <w:tcBorders>
              <w:top w:val="nil"/>
              <w:left w:val="nil"/>
              <w:bottom w:val="nil"/>
              <w:right w:val="nil"/>
            </w:tcBorders>
          </w:tcPr>
          <w:p w:rsidR="00A275D3" w:rsidRPr="004037CC" w:rsidRDefault="00A275D3" w:rsidP="00A275D3">
            <w:pPr>
              <w:ind w:left="142"/>
              <w:jc w:val="center"/>
              <w:rPr>
                <w:sz w:val="22"/>
                <w:szCs w:val="22"/>
              </w:rPr>
            </w:pPr>
            <w:r w:rsidRPr="004037CC">
              <w:rPr>
                <w:sz w:val="22"/>
                <w:szCs w:val="22"/>
              </w:rPr>
              <w:t>(подпись)</w:t>
            </w:r>
          </w:p>
        </w:tc>
        <w:tc>
          <w:tcPr>
            <w:tcW w:w="851" w:type="dxa"/>
            <w:tcBorders>
              <w:top w:val="nil"/>
              <w:left w:val="nil"/>
              <w:bottom w:val="nil"/>
              <w:right w:val="nil"/>
            </w:tcBorders>
          </w:tcPr>
          <w:p w:rsidR="00A275D3" w:rsidRPr="004037CC" w:rsidRDefault="00A275D3" w:rsidP="00A275D3">
            <w:pPr>
              <w:rPr>
                <w:sz w:val="22"/>
                <w:szCs w:val="22"/>
              </w:rPr>
            </w:pPr>
          </w:p>
        </w:tc>
        <w:tc>
          <w:tcPr>
            <w:tcW w:w="2437" w:type="dxa"/>
            <w:tcBorders>
              <w:top w:val="nil"/>
              <w:left w:val="nil"/>
              <w:bottom w:val="nil"/>
              <w:right w:val="nil"/>
            </w:tcBorders>
          </w:tcPr>
          <w:p w:rsidR="00A275D3" w:rsidRPr="004037CC" w:rsidRDefault="00A275D3" w:rsidP="00A275D3">
            <w:pPr>
              <w:rPr>
                <w:sz w:val="22"/>
                <w:szCs w:val="22"/>
              </w:rPr>
            </w:pPr>
          </w:p>
        </w:tc>
        <w:tc>
          <w:tcPr>
            <w:tcW w:w="76" w:type="dxa"/>
            <w:tcBorders>
              <w:top w:val="nil"/>
              <w:left w:val="nil"/>
              <w:bottom w:val="nil"/>
              <w:right w:val="single" w:sz="4" w:space="0" w:color="auto"/>
            </w:tcBorders>
          </w:tcPr>
          <w:p w:rsidR="00A275D3" w:rsidRPr="004037CC" w:rsidRDefault="00A275D3" w:rsidP="00A275D3">
            <w:pPr>
              <w:rPr>
                <w:sz w:val="22"/>
                <w:szCs w:val="22"/>
              </w:rPr>
            </w:pPr>
          </w:p>
        </w:tc>
      </w:tr>
      <w:tr w:rsidR="00A275D3" w:rsidRPr="00A275D3" w:rsidTr="00096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86" w:type="dxa"/>
            <w:tcBorders>
              <w:top w:val="nil"/>
              <w:left w:val="single" w:sz="4" w:space="0" w:color="auto"/>
              <w:bottom w:val="nil"/>
              <w:right w:val="nil"/>
            </w:tcBorders>
            <w:vAlign w:val="bottom"/>
          </w:tcPr>
          <w:p w:rsidR="00A275D3" w:rsidRPr="004037CC" w:rsidRDefault="00A275D3" w:rsidP="00A275D3">
            <w:pPr>
              <w:ind w:left="142"/>
              <w:rPr>
                <w:sz w:val="22"/>
                <w:szCs w:val="22"/>
              </w:rPr>
            </w:pPr>
            <w:r w:rsidRPr="004037CC">
              <w:rPr>
                <w:sz w:val="22"/>
                <w:szCs w:val="22"/>
              </w:rPr>
              <w:t xml:space="preserve">3.2. Дата           </w:t>
            </w:r>
          </w:p>
        </w:tc>
        <w:tc>
          <w:tcPr>
            <w:tcW w:w="448" w:type="dxa"/>
            <w:tcBorders>
              <w:top w:val="nil"/>
              <w:left w:val="nil"/>
              <w:bottom w:val="single" w:sz="4" w:space="0" w:color="auto"/>
              <w:right w:val="nil"/>
            </w:tcBorders>
            <w:vAlign w:val="bottom"/>
          </w:tcPr>
          <w:p w:rsidR="00A275D3" w:rsidRPr="004037CC" w:rsidRDefault="00171ECC" w:rsidP="00A275D3">
            <w:pPr>
              <w:ind w:left="142"/>
              <w:jc w:val="center"/>
              <w:rPr>
                <w:sz w:val="22"/>
                <w:szCs w:val="22"/>
              </w:rPr>
            </w:pPr>
            <w:r>
              <w:rPr>
                <w:sz w:val="22"/>
                <w:szCs w:val="22"/>
              </w:rPr>
              <w:t>19</w:t>
            </w:r>
          </w:p>
        </w:tc>
        <w:tc>
          <w:tcPr>
            <w:tcW w:w="293" w:type="dxa"/>
            <w:tcBorders>
              <w:top w:val="nil"/>
              <w:left w:val="nil"/>
              <w:bottom w:val="nil"/>
              <w:right w:val="nil"/>
            </w:tcBorders>
            <w:vAlign w:val="bottom"/>
          </w:tcPr>
          <w:p w:rsidR="00A275D3" w:rsidRPr="004037CC" w:rsidRDefault="00A275D3" w:rsidP="00A275D3">
            <w:pPr>
              <w:ind w:left="142"/>
              <w:rPr>
                <w:sz w:val="22"/>
                <w:szCs w:val="22"/>
              </w:rPr>
            </w:pPr>
          </w:p>
        </w:tc>
        <w:tc>
          <w:tcPr>
            <w:tcW w:w="1318" w:type="dxa"/>
            <w:tcBorders>
              <w:top w:val="nil"/>
              <w:left w:val="nil"/>
              <w:bottom w:val="single" w:sz="4" w:space="0" w:color="auto"/>
              <w:right w:val="nil"/>
            </w:tcBorders>
            <w:vAlign w:val="bottom"/>
          </w:tcPr>
          <w:p w:rsidR="00A275D3" w:rsidRPr="004037CC" w:rsidRDefault="00DB7355" w:rsidP="00A275D3">
            <w:pPr>
              <w:ind w:left="142"/>
              <w:jc w:val="center"/>
              <w:rPr>
                <w:sz w:val="22"/>
                <w:szCs w:val="22"/>
                <w:lang w:val="en-US"/>
              </w:rPr>
            </w:pPr>
            <w:r w:rsidRPr="004037CC">
              <w:rPr>
                <w:sz w:val="22"/>
                <w:szCs w:val="22"/>
              </w:rPr>
              <w:t>апреля</w:t>
            </w:r>
          </w:p>
        </w:tc>
        <w:tc>
          <w:tcPr>
            <w:tcW w:w="415" w:type="dxa"/>
            <w:tcBorders>
              <w:top w:val="nil"/>
              <w:left w:val="nil"/>
              <w:bottom w:val="nil"/>
              <w:right w:val="nil"/>
            </w:tcBorders>
            <w:vAlign w:val="bottom"/>
          </w:tcPr>
          <w:p w:rsidR="00A275D3" w:rsidRPr="004037CC" w:rsidRDefault="00A275D3" w:rsidP="00A275D3">
            <w:pPr>
              <w:ind w:left="142"/>
              <w:jc w:val="right"/>
              <w:rPr>
                <w:sz w:val="22"/>
                <w:szCs w:val="22"/>
              </w:rPr>
            </w:pPr>
          </w:p>
        </w:tc>
        <w:tc>
          <w:tcPr>
            <w:tcW w:w="604" w:type="dxa"/>
            <w:tcBorders>
              <w:top w:val="nil"/>
              <w:left w:val="nil"/>
              <w:bottom w:val="single" w:sz="4" w:space="0" w:color="auto"/>
              <w:right w:val="nil"/>
            </w:tcBorders>
            <w:vAlign w:val="bottom"/>
          </w:tcPr>
          <w:p w:rsidR="00A275D3" w:rsidRPr="004037CC" w:rsidRDefault="00DB7355" w:rsidP="00A275D3">
            <w:pPr>
              <w:rPr>
                <w:sz w:val="22"/>
                <w:szCs w:val="22"/>
              </w:rPr>
            </w:pPr>
            <w:r w:rsidRPr="004037CC">
              <w:rPr>
                <w:sz w:val="22"/>
                <w:szCs w:val="22"/>
              </w:rPr>
              <w:t>2016</w:t>
            </w:r>
          </w:p>
        </w:tc>
        <w:tc>
          <w:tcPr>
            <w:tcW w:w="412" w:type="dxa"/>
            <w:tcBorders>
              <w:top w:val="nil"/>
              <w:left w:val="nil"/>
              <w:bottom w:val="nil"/>
              <w:right w:val="nil"/>
            </w:tcBorders>
            <w:vAlign w:val="bottom"/>
          </w:tcPr>
          <w:p w:rsidR="00A275D3" w:rsidRPr="004037CC" w:rsidRDefault="00A275D3" w:rsidP="00A275D3">
            <w:pPr>
              <w:ind w:left="142"/>
              <w:rPr>
                <w:sz w:val="22"/>
                <w:szCs w:val="22"/>
              </w:rPr>
            </w:pPr>
            <w:proofErr w:type="gramStart"/>
            <w:r w:rsidRPr="004037CC">
              <w:rPr>
                <w:sz w:val="22"/>
                <w:szCs w:val="22"/>
              </w:rPr>
              <w:t>г</w:t>
            </w:r>
            <w:proofErr w:type="gramEnd"/>
            <w:r w:rsidRPr="004037CC">
              <w:rPr>
                <w:sz w:val="22"/>
                <w:szCs w:val="22"/>
              </w:rPr>
              <w:t>.</w:t>
            </w:r>
          </w:p>
        </w:tc>
        <w:tc>
          <w:tcPr>
            <w:tcW w:w="1984" w:type="dxa"/>
            <w:tcBorders>
              <w:top w:val="nil"/>
              <w:left w:val="nil"/>
              <w:bottom w:val="nil"/>
              <w:right w:val="nil"/>
            </w:tcBorders>
            <w:vAlign w:val="bottom"/>
          </w:tcPr>
          <w:p w:rsidR="00A275D3" w:rsidRPr="00A275D3" w:rsidRDefault="00A275D3" w:rsidP="00A275D3">
            <w:pPr>
              <w:ind w:left="142"/>
              <w:jc w:val="center"/>
              <w:rPr>
                <w:sz w:val="22"/>
                <w:szCs w:val="22"/>
              </w:rPr>
            </w:pPr>
            <w:r w:rsidRPr="004037CC">
              <w:rPr>
                <w:sz w:val="22"/>
                <w:szCs w:val="22"/>
              </w:rPr>
              <w:t>М.П.</w:t>
            </w:r>
          </w:p>
        </w:tc>
        <w:tc>
          <w:tcPr>
            <w:tcW w:w="3364" w:type="dxa"/>
            <w:gridSpan w:val="3"/>
            <w:tcBorders>
              <w:top w:val="nil"/>
              <w:left w:val="nil"/>
              <w:bottom w:val="nil"/>
              <w:right w:val="single" w:sz="4" w:space="0" w:color="auto"/>
            </w:tcBorders>
            <w:vAlign w:val="bottom"/>
          </w:tcPr>
          <w:p w:rsidR="00A275D3" w:rsidRPr="00A275D3" w:rsidRDefault="00A275D3" w:rsidP="00A275D3">
            <w:pPr>
              <w:rPr>
                <w:sz w:val="22"/>
                <w:szCs w:val="22"/>
              </w:rPr>
            </w:pPr>
          </w:p>
        </w:tc>
      </w:tr>
      <w:tr w:rsidR="00A275D3" w:rsidRPr="00A275D3" w:rsidTr="00096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76" w:type="dxa"/>
            <w:gridSpan w:val="7"/>
            <w:tcBorders>
              <w:top w:val="nil"/>
              <w:left w:val="single" w:sz="4" w:space="0" w:color="auto"/>
              <w:bottom w:val="single" w:sz="4" w:space="0" w:color="auto"/>
              <w:right w:val="nil"/>
            </w:tcBorders>
          </w:tcPr>
          <w:p w:rsidR="00A275D3" w:rsidRPr="00A275D3" w:rsidRDefault="00A275D3" w:rsidP="00A275D3">
            <w:pPr>
              <w:ind w:left="57"/>
              <w:rPr>
                <w:sz w:val="22"/>
                <w:szCs w:val="22"/>
              </w:rPr>
            </w:pPr>
          </w:p>
        </w:tc>
        <w:tc>
          <w:tcPr>
            <w:tcW w:w="1984" w:type="dxa"/>
            <w:tcBorders>
              <w:top w:val="nil"/>
              <w:left w:val="nil"/>
              <w:bottom w:val="single" w:sz="4" w:space="0" w:color="auto"/>
              <w:right w:val="nil"/>
            </w:tcBorders>
          </w:tcPr>
          <w:p w:rsidR="00A275D3" w:rsidRPr="00A275D3" w:rsidRDefault="00A275D3" w:rsidP="00A275D3">
            <w:pPr>
              <w:jc w:val="center"/>
              <w:rPr>
                <w:sz w:val="22"/>
                <w:szCs w:val="22"/>
              </w:rPr>
            </w:pPr>
          </w:p>
        </w:tc>
        <w:tc>
          <w:tcPr>
            <w:tcW w:w="3364" w:type="dxa"/>
            <w:gridSpan w:val="3"/>
            <w:tcBorders>
              <w:top w:val="nil"/>
              <w:left w:val="nil"/>
              <w:bottom w:val="single" w:sz="4" w:space="0" w:color="auto"/>
              <w:right w:val="single" w:sz="4" w:space="0" w:color="auto"/>
            </w:tcBorders>
          </w:tcPr>
          <w:p w:rsidR="00A275D3" w:rsidRPr="00A275D3" w:rsidRDefault="00A275D3" w:rsidP="00A275D3">
            <w:pPr>
              <w:rPr>
                <w:sz w:val="22"/>
                <w:szCs w:val="22"/>
              </w:rPr>
            </w:pPr>
          </w:p>
        </w:tc>
      </w:tr>
    </w:tbl>
    <w:p w:rsidR="00A275D3" w:rsidRPr="00A275D3" w:rsidRDefault="00A275D3" w:rsidP="00A275D3">
      <w:pPr>
        <w:rPr>
          <w:sz w:val="22"/>
          <w:szCs w:val="22"/>
        </w:rPr>
      </w:pPr>
    </w:p>
    <w:p w:rsidR="006149F0" w:rsidRPr="0033356A" w:rsidRDefault="006149F0" w:rsidP="00A275D3">
      <w:pPr>
        <w:rPr>
          <w:sz w:val="22"/>
          <w:szCs w:val="22"/>
        </w:rPr>
      </w:pPr>
    </w:p>
    <w:sectPr w:rsidR="006149F0" w:rsidRPr="0033356A" w:rsidSect="006F0EAC">
      <w:pgSz w:w="11906" w:h="16838"/>
      <w:pgMar w:top="426"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EF" w:rsidRDefault="00BA05EF">
      <w:r>
        <w:separator/>
      </w:r>
    </w:p>
  </w:endnote>
  <w:endnote w:type="continuationSeparator" w:id="0">
    <w:p w:rsidR="00BA05EF" w:rsidRDefault="00BA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EF" w:rsidRDefault="00BA05EF">
      <w:r>
        <w:separator/>
      </w:r>
    </w:p>
  </w:footnote>
  <w:footnote w:type="continuationSeparator" w:id="0">
    <w:p w:rsidR="00BA05EF" w:rsidRDefault="00BA0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B4"/>
    <w:rsid w:val="00015448"/>
    <w:rsid w:val="00037499"/>
    <w:rsid w:val="00080A5F"/>
    <w:rsid w:val="00082AAC"/>
    <w:rsid w:val="0009087F"/>
    <w:rsid w:val="000A43EF"/>
    <w:rsid w:val="000A6ECD"/>
    <w:rsid w:val="000A7DCE"/>
    <w:rsid w:val="000D6B68"/>
    <w:rsid w:val="000F0FD8"/>
    <w:rsid w:val="00101645"/>
    <w:rsid w:val="0011290C"/>
    <w:rsid w:val="001220E1"/>
    <w:rsid w:val="00136997"/>
    <w:rsid w:val="00171ECC"/>
    <w:rsid w:val="00183734"/>
    <w:rsid w:val="001B17C2"/>
    <w:rsid w:val="001F33B0"/>
    <w:rsid w:val="001F3BAD"/>
    <w:rsid w:val="00201464"/>
    <w:rsid w:val="002131DE"/>
    <w:rsid w:val="002406C0"/>
    <w:rsid w:val="00275AD8"/>
    <w:rsid w:val="00286DAF"/>
    <w:rsid w:val="002874D8"/>
    <w:rsid w:val="00290595"/>
    <w:rsid w:val="002C04AA"/>
    <w:rsid w:val="002D32CA"/>
    <w:rsid w:val="002F7B88"/>
    <w:rsid w:val="00323A65"/>
    <w:rsid w:val="0033356A"/>
    <w:rsid w:val="00337A78"/>
    <w:rsid w:val="00341684"/>
    <w:rsid w:val="00346552"/>
    <w:rsid w:val="003571CE"/>
    <w:rsid w:val="0039237E"/>
    <w:rsid w:val="003956EC"/>
    <w:rsid w:val="003A2CD6"/>
    <w:rsid w:val="003A7BBB"/>
    <w:rsid w:val="003B4E8F"/>
    <w:rsid w:val="003C2E2D"/>
    <w:rsid w:val="003E1089"/>
    <w:rsid w:val="004037CC"/>
    <w:rsid w:val="004206E1"/>
    <w:rsid w:val="004426EF"/>
    <w:rsid w:val="00455578"/>
    <w:rsid w:val="004734D8"/>
    <w:rsid w:val="00491C46"/>
    <w:rsid w:val="004964E3"/>
    <w:rsid w:val="004C7A9A"/>
    <w:rsid w:val="004D206F"/>
    <w:rsid w:val="004F235D"/>
    <w:rsid w:val="004F39AC"/>
    <w:rsid w:val="00506095"/>
    <w:rsid w:val="005165E0"/>
    <w:rsid w:val="005415C4"/>
    <w:rsid w:val="00543459"/>
    <w:rsid w:val="00556C53"/>
    <w:rsid w:val="0057716D"/>
    <w:rsid w:val="00592B6E"/>
    <w:rsid w:val="00593152"/>
    <w:rsid w:val="005B5EC4"/>
    <w:rsid w:val="005E3104"/>
    <w:rsid w:val="005F7B95"/>
    <w:rsid w:val="006149F0"/>
    <w:rsid w:val="00630889"/>
    <w:rsid w:val="00637316"/>
    <w:rsid w:val="00690959"/>
    <w:rsid w:val="00694160"/>
    <w:rsid w:val="006B34B5"/>
    <w:rsid w:val="006E6E59"/>
    <w:rsid w:val="006F0EAC"/>
    <w:rsid w:val="006F32C3"/>
    <w:rsid w:val="00701D3A"/>
    <w:rsid w:val="00735A14"/>
    <w:rsid w:val="00756D5F"/>
    <w:rsid w:val="007631C3"/>
    <w:rsid w:val="00766CEE"/>
    <w:rsid w:val="00785EF6"/>
    <w:rsid w:val="007D63AA"/>
    <w:rsid w:val="007E4BBA"/>
    <w:rsid w:val="00800765"/>
    <w:rsid w:val="00803A40"/>
    <w:rsid w:val="00840950"/>
    <w:rsid w:val="00891EDA"/>
    <w:rsid w:val="00893C4F"/>
    <w:rsid w:val="008A44C7"/>
    <w:rsid w:val="008C39AA"/>
    <w:rsid w:val="008D5F7D"/>
    <w:rsid w:val="008F2682"/>
    <w:rsid w:val="008F32A7"/>
    <w:rsid w:val="008F6FDB"/>
    <w:rsid w:val="008F717B"/>
    <w:rsid w:val="008F760F"/>
    <w:rsid w:val="00917366"/>
    <w:rsid w:val="00981898"/>
    <w:rsid w:val="009A22B4"/>
    <w:rsid w:val="009A69F4"/>
    <w:rsid w:val="009C69F5"/>
    <w:rsid w:val="009D59BA"/>
    <w:rsid w:val="00A018F1"/>
    <w:rsid w:val="00A171B6"/>
    <w:rsid w:val="00A275D3"/>
    <w:rsid w:val="00A45137"/>
    <w:rsid w:val="00A55C70"/>
    <w:rsid w:val="00A66D70"/>
    <w:rsid w:val="00AA2B3C"/>
    <w:rsid w:val="00AB7325"/>
    <w:rsid w:val="00AC1538"/>
    <w:rsid w:val="00AD5312"/>
    <w:rsid w:val="00AE7F0C"/>
    <w:rsid w:val="00B0367C"/>
    <w:rsid w:val="00B14347"/>
    <w:rsid w:val="00B26B67"/>
    <w:rsid w:val="00B32248"/>
    <w:rsid w:val="00B32C31"/>
    <w:rsid w:val="00B37EAB"/>
    <w:rsid w:val="00B537A0"/>
    <w:rsid w:val="00BA05EF"/>
    <w:rsid w:val="00BC53C3"/>
    <w:rsid w:val="00BC633F"/>
    <w:rsid w:val="00BD58C8"/>
    <w:rsid w:val="00BE7EEE"/>
    <w:rsid w:val="00BF19A8"/>
    <w:rsid w:val="00BF5931"/>
    <w:rsid w:val="00C34721"/>
    <w:rsid w:val="00C35C7C"/>
    <w:rsid w:val="00C41FBF"/>
    <w:rsid w:val="00C60795"/>
    <w:rsid w:val="00C82618"/>
    <w:rsid w:val="00C854A1"/>
    <w:rsid w:val="00C9528D"/>
    <w:rsid w:val="00CB6C30"/>
    <w:rsid w:val="00CB7A10"/>
    <w:rsid w:val="00CC1A54"/>
    <w:rsid w:val="00CD39AE"/>
    <w:rsid w:val="00CE1637"/>
    <w:rsid w:val="00D102FF"/>
    <w:rsid w:val="00D175F7"/>
    <w:rsid w:val="00D36C27"/>
    <w:rsid w:val="00D556B6"/>
    <w:rsid w:val="00D813C7"/>
    <w:rsid w:val="00DB6296"/>
    <w:rsid w:val="00DB7355"/>
    <w:rsid w:val="00DD01CB"/>
    <w:rsid w:val="00DF6F9C"/>
    <w:rsid w:val="00E21F46"/>
    <w:rsid w:val="00E2751D"/>
    <w:rsid w:val="00E62B5E"/>
    <w:rsid w:val="00E76690"/>
    <w:rsid w:val="00E84E50"/>
    <w:rsid w:val="00E91ADF"/>
    <w:rsid w:val="00EB36A7"/>
    <w:rsid w:val="00EB537E"/>
    <w:rsid w:val="00EB589E"/>
    <w:rsid w:val="00EB7F5D"/>
    <w:rsid w:val="00ED6C78"/>
    <w:rsid w:val="00F34A22"/>
    <w:rsid w:val="00F42991"/>
    <w:rsid w:val="00F47DAC"/>
    <w:rsid w:val="00F63A09"/>
    <w:rsid w:val="00F72A5B"/>
    <w:rsid w:val="00F87DF5"/>
    <w:rsid w:val="00FA24ED"/>
    <w:rsid w:val="00FE2A1E"/>
    <w:rsid w:val="00FF245B"/>
    <w:rsid w:val="00FF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ascii="Times New Roman" w:hAnsi="Times New Roman" w:cs="Times New Roman"/>
      <w:sz w:val="20"/>
      <w:szCs w:val="20"/>
    </w:rPr>
  </w:style>
  <w:style w:type="character" w:customStyle="1" w:styleId="SUBST">
    <w:name w:val="__SUBST"/>
    <w:uiPriority w:val="99"/>
    <w:rsid w:val="009A22B4"/>
    <w:rPr>
      <w:b/>
      <w:bCs/>
      <w:i/>
      <w:iCs/>
      <w:sz w:val="22"/>
      <w:szCs w:val="22"/>
    </w:rPr>
  </w:style>
  <w:style w:type="paragraph" w:styleId="3">
    <w:name w:val="Body Text 3"/>
    <w:aliases w:val="Основной текст 3 Знак2 Знак,Основной текст 3 Знак2 Знак Знак"/>
    <w:basedOn w:val="a"/>
    <w:link w:val="30"/>
    <w:uiPriority w:val="99"/>
    <w:semiHidden/>
    <w:rsid w:val="009A22B4"/>
    <w:pPr>
      <w:autoSpaceDE/>
      <w:autoSpaceDN/>
      <w:jc w:val="both"/>
    </w:pPr>
    <w:rPr>
      <w:b/>
      <w:bCs/>
      <w:i/>
      <w:iCs/>
      <w:sz w:val="22"/>
      <w:szCs w:val="22"/>
    </w:rPr>
  </w:style>
  <w:style w:type="character" w:customStyle="1" w:styleId="30">
    <w:name w:val="Основной текст 3 Знак"/>
    <w:aliases w:val="Основной текст 3 Знак2 Знак Знак1,Основной текст 3 Знак2 Знак Знак Знак"/>
    <w:link w:val="3"/>
    <w:uiPriority w:val="99"/>
    <w:semiHidden/>
    <w:locked/>
    <w:rsid w:val="009A22B4"/>
    <w:rPr>
      <w:rFonts w:ascii="Times New Roman" w:hAnsi="Times New Roman" w:cs="Times New Roman"/>
      <w:b/>
      <w:bCs/>
      <w:i/>
      <w:iCs/>
    </w:rPr>
  </w:style>
  <w:style w:type="paragraph" w:customStyle="1" w:styleId="BodyText21">
    <w:name w:val="Body Text 21"/>
    <w:basedOn w:val="a"/>
    <w:uiPriority w:val="99"/>
    <w:rsid w:val="009A22B4"/>
    <w:pPr>
      <w:tabs>
        <w:tab w:val="left" w:pos="993"/>
      </w:tabs>
      <w:autoSpaceDE/>
      <w:autoSpaceDN/>
      <w:jc w:val="both"/>
    </w:pPr>
    <w:rPr>
      <w:lang w:eastAsia="en-US"/>
    </w:rPr>
  </w:style>
  <w:style w:type="paragraph" w:customStyle="1" w:styleId="31">
    <w:name w:val="çàãîëîâîê 3"/>
    <w:uiPriority w:val="99"/>
    <w:rsid w:val="009A22B4"/>
    <w:pPr>
      <w:keepNext/>
      <w:widowControl w:val="0"/>
      <w:autoSpaceDE w:val="0"/>
      <w:autoSpaceDN w:val="0"/>
      <w:jc w:val="both"/>
    </w:pPr>
    <w:rPr>
      <w:rFonts w:ascii="Times New Roman" w:hAnsi="Times New Roman"/>
      <w:sz w:val="24"/>
      <w:szCs w:val="24"/>
    </w:rPr>
  </w:style>
  <w:style w:type="paragraph" w:styleId="a7">
    <w:name w:val="Balloon Text"/>
    <w:basedOn w:val="a"/>
    <w:link w:val="a8"/>
    <w:uiPriority w:val="99"/>
    <w:semiHidden/>
    <w:rsid w:val="00840950"/>
    <w:rPr>
      <w:rFonts w:ascii="Tahoma" w:hAnsi="Tahoma" w:cs="Tahoma"/>
      <w:sz w:val="16"/>
      <w:szCs w:val="16"/>
    </w:rPr>
  </w:style>
  <w:style w:type="character" w:customStyle="1" w:styleId="a8">
    <w:name w:val="Текст выноски Знак"/>
    <w:link w:val="a7"/>
    <w:uiPriority w:val="99"/>
    <w:semiHidden/>
    <w:locked/>
    <w:rsid w:val="00840950"/>
    <w:rPr>
      <w:rFonts w:ascii="Tahoma" w:hAnsi="Tahoma" w:cs="Tahoma"/>
      <w:sz w:val="16"/>
      <w:szCs w:val="16"/>
    </w:rPr>
  </w:style>
  <w:style w:type="paragraph" w:customStyle="1" w:styleId="a9">
    <w:name w:val="Знак Знак Знак Знак"/>
    <w:basedOn w:val="a"/>
    <w:uiPriority w:val="99"/>
    <w:rsid w:val="00455578"/>
    <w:pPr>
      <w:widowControl w:val="0"/>
      <w:autoSpaceDE/>
      <w:autoSpaceDN/>
      <w:adjustRightInd w:val="0"/>
      <w:spacing w:after="160" w:line="240" w:lineRule="exact"/>
      <w:jc w:val="right"/>
    </w:pPr>
    <w:rPr>
      <w:lang w:val="en-GB" w:eastAsia="en-US"/>
    </w:rPr>
  </w:style>
  <w:style w:type="character" w:styleId="aa">
    <w:name w:val="Hyperlink"/>
    <w:uiPriority w:val="99"/>
    <w:rsid w:val="007E4BBA"/>
    <w:rPr>
      <w:color w:val="0000FF"/>
      <w:u w:val="single"/>
    </w:rPr>
  </w:style>
  <w:style w:type="paragraph" w:styleId="ab">
    <w:name w:val="Body Text Indent"/>
    <w:basedOn w:val="a"/>
    <w:link w:val="ac"/>
    <w:uiPriority w:val="99"/>
    <w:semiHidden/>
    <w:unhideWhenUsed/>
    <w:rsid w:val="00C41FBF"/>
    <w:pPr>
      <w:spacing w:after="120"/>
      <w:ind w:left="283"/>
    </w:pPr>
  </w:style>
  <w:style w:type="character" w:customStyle="1" w:styleId="ac">
    <w:name w:val="Основной текст с отступом Знак"/>
    <w:basedOn w:val="a0"/>
    <w:link w:val="ab"/>
    <w:uiPriority w:val="99"/>
    <w:semiHidden/>
    <w:rsid w:val="00C41FBF"/>
    <w:rPr>
      <w:rFonts w:ascii="Times New Roman" w:hAnsi="Times New Roman"/>
    </w:rPr>
  </w:style>
  <w:style w:type="character" w:styleId="ad">
    <w:name w:val="annotation reference"/>
    <w:basedOn w:val="a0"/>
    <w:uiPriority w:val="99"/>
    <w:semiHidden/>
    <w:unhideWhenUsed/>
    <w:rsid w:val="000F0FD8"/>
    <w:rPr>
      <w:sz w:val="16"/>
      <w:szCs w:val="16"/>
    </w:rPr>
  </w:style>
  <w:style w:type="paragraph" w:styleId="ae">
    <w:name w:val="annotation text"/>
    <w:basedOn w:val="a"/>
    <w:link w:val="af"/>
    <w:uiPriority w:val="99"/>
    <w:semiHidden/>
    <w:unhideWhenUsed/>
    <w:rsid w:val="000F0FD8"/>
  </w:style>
  <w:style w:type="character" w:customStyle="1" w:styleId="af">
    <w:name w:val="Текст примечания Знак"/>
    <w:basedOn w:val="a0"/>
    <w:link w:val="ae"/>
    <w:uiPriority w:val="99"/>
    <w:semiHidden/>
    <w:rsid w:val="000F0FD8"/>
    <w:rPr>
      <w:rFonts w:ascii="Times New Roman" w:hAnsi="Times New Roman"/>
    </w:rPr>
  </w:style>
  <w:style w:type="paragraph" w:styleId="af0">
    <w:name w:val="annotation subject"/>
    <w:basedOn w:val="ae"/>
    <w:next w:val="ae"/>
    <w:link w:val="af1"/>
    <w:uiPriority w:val="99"/>
    <w:semiHidden/>
    <w:unhideWhenUsed/>
    <w:rsid w:val="000F0FD8"/>
    <w:rPr>
      <w:b/>
      <w:bCs/>
    </w:rPr>
  </w:style>
  <w:style w:type="character" w:customStyle="1" w:styleId="af1">
    <w:name w:val="Тема примечания Знак"/>
    <w:basedOn w:val="af"/>
    <w:link w:val="af0"/>
    <w:uiPriority w:val="99"/>
    <w:semiHidden/>
    <w:rsid w:val="000F0FD8"/>
    <w:rPr>
      <w:rFonts w:ascii="Times New Roman" w:hAnsi="Times New Roman"/>
      <w:b/>
      <w:bCs/>
    </w:rPr>
  </w:style>
  <w:style w:type="paragraph" w:customStyle="1" w:styleId="ConsPlusNormal">
    <w:name w:val="ConsPlusNormal"/>
    <w:rsid w:val="00F63A09"/>
    <w:pPr>
      <w:widowControl w:val="0"/>
      <w:autoSpaceDE w:val="0"/>
      <w:autoSpaceDN w:val="0"/>
    </w:pPr>
    <w:rPr>
      <w:rFonts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ascii="Times New Roman" w:hAnsi="Times New Roman" w:cs="Times New Roman"/>
      <w:sz w:val="20"/>
      <w:szCs w:val="20"/>
    </w:rPr>
  </w:style>
  <w:style w:type="character" w:customStyle="1" w:styleId="SUBST">
    <w:name w:val="__SUBST"/>
    <w:uiPriority w:val="99"/>
    <w:rsid w:val="009A22B4"/>
    <w:rPr>
      <w:b/>
      <w:bCs/>
      <w:i/>
      <w:iCs/>
      <w:sz w:val="22"/>
      <w:szCs w:val="22"/>
    </w:rPr>
  </w:style>
  <w:style w:type="paragraph" w:styleId="3">
    <w:name w:val="Body Text 3"/>
    <w:aliases w:val="Основной текст 3 Знак2 Знак,Основной текст 3 Знак2 Знак Знак"/>
    <w:basedOn w:val="a"/>
    <w:link w:val="30"/>
    <w:uiPriority w:val="99"/>
    <w:semiHidden/>
    <w:rsid w:val="009A22B4"/>
    <w:pPr>
      <w:autoSpaceDE/>
      <w:autoSpaceDN/>
      <w:jc w:val="both"/>
    </w:pPr>
    <w:rPr>
      <w:b/>
      <w:bCs/>
      <w:i/>
      <w:iCs/>
      <w:sz w:val="22"/>
      <w:szCs w:val="22"/>
    </w:rPr>
  </w:style>
  <w:style w:type="character" w:customStyle="1" w:styleId="30">
    <w:name w:val="Основной текст 3 Знак"/>
    <w:aliases w:val="Основной текст 3 Знак2 Знак Знак1,Основной текст 3 Знак2 Знак Знак Знак"/>
    <w:link w:val="3"/>
    <w:uiPriority w:val="99"/>
    <w:semiHidden/>
    <w:locked/>
    <w:rsid w:val="009A22B4"/>
    <w:rPr>
      <w:rFonts w:ascii="Times New Roman" w:hAnsi="Times New Roman" w:cs="Times New Roman"/>
      <w:b/>
      <w:bCs/>
      <w:i/>
      <w:iCs/>
    </w:rPr>
  </w:style>
  <w:style w:type="paragraph" w:customStyle="1" w:styleId="BodyText21">
    <w:name w:val="Body Text 21"/>
    <w:basedOn w:val="a"/>
    <w:uiPriority w:val="99"/>
    <w:rsid w:val="009A22B4"/>
    <w:pPr>
      <w:tabs>
        <w:tab w:val="left" w:pos="993"/>
      </w:tabs>
      <w:autoSpaceDE/>
      <w:autoSpaceDN/>
      <w:jc w:val="both"/>
    </w:pPr>
    <w:rPr>
      <w:lang w:eastAsia="en-US"/>
    </w:rPr>
  </w:style>
  <w:style w:type="paragraph" w:customStyle="1" w:styleId="31">
    <w:name w:val="çàãîëîâîê 3"/>
    <w:uiPriority w:val="99"/>
    <w:rsid w:val="009A22B4"/>
    <w:pPr>
      <w:keepNext/>
      <w:widowControl w:val="0"/>
      <w:autoSpaceDE w:val="0"/>
      <w:autoSpaceDN w:val="0"/>
      <w:jc w:val="both"/>
    </w:pPr>
    <w:rPr>
      <w:rFonts w:ascii="Times New Roman" w:hAnsi="Times New Roman"/>
      <w:sz w:val="24"/>
      <w:szCs w:val="24"/>
    </w:rPr>
  </w:style>
  <w:style w:type="paragraph" w:styleId="a7">
    <w:name w:val="Balloon Text"/>
    <w:basedOn w:val="a"/>
    <w:link w:val="a8"/>
    <w:uiPriority w:val="99"/>
    <w:semiHidden/>
    <w:rsid w:val="00840950"/>
    <w:rPr>
      <w:rFonts w:ascii="Tahoma" w:hAnsi="Tahoma" w:cs="Tahoma"/>
      <w:sz w:val="16"/>
      <w:szCs w:val="16"/>
    </w:rPr>
  </w:style>
  <w:style w:type="character" w:customStyle="1" w:styleId="a8">
    <w:name w:val="Текст выноски Знак"/>
    <w:link w:val="a7"/>
    <w:uiPriority w:val="99"/>
    <w:semiHidden/>
    <w:locked/>
    <w:rsid w:val="00840950"/>
    <w:rPr>
      <w:rFonts w:ascii="Tahoma" w:hAnsi="Tahoma" w:cs="Tahoma"/>
      <w:sz w:val="16"/>
      <w:szCs w:val="16"/>
    </w:rPr>
  </w:style>
  <w:style w:type="paragraph" w:customStyle="1" w:styleId="a9">
    <w:name w:val="Знак Знак Знак Знак"/>
    <w:basedOn w:val="a"/>
    <w:uiPriority w:val="99"/>
    <w:rsid w:val="00455578"/>
    <w:pPr>
      <w:widowControl w:val="0"/>
      <w:autoSpaceDE/>
      <w:autoSpaceDN/>
      <w:adjustRightInd w:val="0"/>
      <w:spacing w:after="160" w:line="240" w:lineRule="exact"/>
      <w:jc w:val="right"/>
    </w:pPr>
    <w:rPr>
      <w:lang w:val="en-GB" w:eastAsia="en-US"/>
    </w:rPr>
  </w:style>
  <w:style w:type="character" w:styleId="aa">
    <w:name w:val="Hyperlink"/>
    <w:uiPriority w:val="99"/>
    <w:rsid w:val="007E4BBA"/>
    <w:rPr>
      <w:color w:val="0000FF"/>
      <w:u w:val="single"/>
    </w:rPr>
  </w:style>
  <w:style w:type="paragraph" w:styleId="ab">
    <w:name w:val="Body Text Indent"/>
    <w:basedOn w:val="a"/>
    <w:link w:val="ac"/>
    <w:uiPriority w:val="99"/>
    <w:semiHidden/>
    <w:unhideWhenUsed/>
    <w:rsid w:val="00C41FBF"/>
    <w:pPr>
      <w:spacing w:after="120"/>
      <w:ind w:left="283"/>
    </w:pPr>
  </w:style>
  <w:style w:type="character" w:customStyle="1" w:styleId="ac">
    <w:name w:val="Основной текст с отступом Знак"/>
    <w:basedOn w:val="a0"/>
    <w:link w:val="ab"/>
    <w:uiPriority w:val="99"/>
    <w:semiHidden/>
    <w:rsid w:val="00C41FBF"/>
    <w:rPr>
      <w:rFonts w:ascii="Times New Roman" w:hAnsi="Times New Roman"/>
    </w:rPr>
  </w:style>
  <w:style w:type="character" w:styleId="ad">
    <w:name w:val="annotation reference"/>
    <w:basedOn w:val="a0"/>
    <w:uiPriority w:val="99"/>
    <w:semiHidden/>
    <w:unhideWhenUsed/>
    <w:rsid w:val="000F0FD8"/>
    <w:rPr>
      <w:sz w:val="16"/>
      <w:szCs w:val="16"/>
    </w:rPr>
  </w:style>
  <w:style w:type="paragraph" w:styleId="ae">
    <w:name w:val="annotation text"/>
    <w:basedOn w:val="a"/>
    <w:link w:val="af"/>
    <w:uiPriority w:val="99"/>
    <w:semiHidden/>
    <w:unhideWhenUsed/>
    <w:rsid w:val="000F0FD8"/>
  </w:style>
  <w:style w:type="character" w:customStyle="1" w:styleId="af">
    <w:name w:val="Текст примечания Знак"/>
    <w:basedOn w:val="a0"/>
    <w:link w:val="ae"/>
    <w:uiPriority w:val="99"/>
    <w:semiHidden/>
    <w:rsid w:val="000F0FD8"/>
    <w:rPr>
      <w:rFonts w:ascii="Times New Roman" w:hAnsi="Times New Roman"/>
    </w:rPr>
  </w:style>
  <w:style w:type="paragraph" w:styleId="af0">
    <w:name w:val="annotation subject"/>
    <w:basedOn w:val="ae"/>
    <w:next w:val="ae"/>
    <w:link w:val="af1"/>
    <w:uiPriority w:val="99"/>
    <w:semiHidden/>
    <w:unhideWhenUsed/>
    <w:rsid w:val="000F0FD8"/>
    <w:rPr>
      <w:b/>
      <w:bCs/>
    </w:rPr>
  </w:style>
  <w:style w:type="character" w:customStyle="1" w:styleId="af1">
    <w:name w:val="Тема примечания Знак"/>
    <w:basedOn w:val="af"/>
    <w:link w:val="af0"/>
    <w:uiPriority w:val="99"/>
    <w:semiHidden/>
    <w:rsid w:val="000F0FD8"/>
    <w:rPr>
      <w:rFonts w:ascii="Times New Roman" w:hAnsi="Times New Roman"/>
      <w:b/>
      <w:bCs/>
    </w:rPr>
  </w:style>
  <w:style w:type="paragraph" w:customStyle="1" w:styleId="ConsPlusNormal">
    <w:name w:val="ConsPlusNormal"/>
    <w:rsid w:val="00F63A09"/>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547</Words>
  <Characters>3781</Characters>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LinksUpToDate>false</LinksUpToDate>
  <CharactersWithSpaces>4320</CharactersWithSpaces>
  <SharedDoc>false</SharedDoc>
  <HyperlinksChanged>false</HyperlinksChanged>
</Properties>
</file>