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0942B5" w:rsidRDefault="004E0BF4" w:rsidP="004E0BF4">
      <w:pPr>
        <w:jc w:val="center"/>
        <w:rPr>
          <w:b/>
          <w:sz w:val="22"/>
          <w:szCs w:val="22"/>
        </w:rPr>
      </w:pPr>
      <w:r w:rsidRPr="000942B5">
        <w:rPr>
          <w:b/>
          <w:sz w:val="22"/>
          <w:szCs w:val="22"/>
        </w:rPr>
        <w:t xml:space="preserve">Сообщение о существенном факте </w:t>
      </w:r>
      <w:r w:rsidR="00945EC1" w:rsidRPr="000942B5">
        <w:rPr>
          <w:b/>
          <w:sz w:val="22"/>
          <w:szCs w:val="22"/>
        </w:rPr>
        <w:t xml:space="preserve">  </w:t>
      </w:r>
      <w:r w:rsidR="00F645CC" w:rsidRPr="000942B5">
        <w:rPr>
          <w:b/>
          <w:sz w:val="22"/>
          <w:szCs w:val="22"/>
        </w:rPr>
        <w:t xml:space="preserve">   </w:t>
      </w:r>
      <w:r w:rsidR="001500E9" w:rsidRPr="000942B5">
        <w:rPr>
          <w:b/>
          <w:sz w:val="22"/>
          <w:szCs w:val="22"/>
        </w:rPr>
        <w:t xml:space="preserve">    </w:t>
      </w:r>
    </w:p>
    <w:p w:rsidR="008451FA" w:rsidRPr="000942B5" w:rsidRDefault="004E0BF4" w:rsidP="004E0BF4">
      <w:pPr>
        <w:jc w:val="center"/>
        <w:rPr>
          <w:b/>
          <w:sz w:val="20"/>
          <w:szCs w:val="20"/>
        </w:rPr>
      </w:pPr>
      <w:r w:rsidRPr="000942B5">
        <w:rPr>
          <w:b/>
          <w:sz w:val="22"/>
          <w:szCs w:val="22"/>
        </w:rPr>
        <w:t xml:space="preserve">о </w:t>
      </w:r>
      <w:r w:rsidR="008451FA" w:rsidRPr="000942B5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0942B5">
        <w:rPr>
          <w:b/>
          <w:sz w:val="22"/>
          <w:szCs w:val="22"/>
        </w:rPr>
        <w:t>е</w:t>
      </w:r>
      <w:r w:rsidR="008451FA" w:rsidRPr="000942B5">
        <w:rPr>
          <w:b/>
          <w:sz w:val="22"/>
          <w:szCs w:val="22"/>
        </w:rPr>
        <w:t xml:space="preserve"> дня, а также о</w:t>
      </w:r>
      <w:r w:rsidR="000225E2" w:rsidRPr="000942B5">
        <w:rPr>
          <w:b/>
          <w:sz w:val="22"/>
          <w:szCs w:val="22"/>
        </w:rPr>
        <w:t xml:space="preserve"> следующих </w:t>
      </w:r>
      <w:r w:rsidR="008451FA" w:rsidRPr="000942B5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0942B5">
        <w:rPr>
          <w:b/>
          <w:sz w:val="22"/>
          <w:szCs w:val="22"/>
        </w:rPr>
        <w:t xml:space="preserve"> решениях</w:t>
      </w:r>
      <w:r w:rsidR="00A91469" w:rsidRPr="000942B5">
        <w:rPr>
          <w:b/>
          <w:sz w:val="22"/>
          <w:szCs w:val="22"/>
        </w:rPr>
        <w:t xml:space="preserve"> </w:t>
      </w:r>
      <w:r w:rsidR="0023683F" w:rsidRPr="000942B5">
        <w:rPr>
          <w:b/>
          <w:sz w:val="22"/>
          <w:szCs w:val="22"/>
        </w:rPr>
        <w:t xml:space="preserve"> </w:t>
      </w:r>
      <w:r w:rsidR="007873EB" w:rsidRPr="000942B5">
        <w:rPr>
          <w:b/>
          <w:sz w:val="20"/>
          <w:szCs w:val="20"/>
        </w:rPr>
        <w:t xml:space="preserve">    </w:t>
      </w:r>
      <w:r w:rsidR="0058452A" w:rsidRPr="000942B5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0942B5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0942B5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0942B5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9614D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0942B5" w:rsidTr="007D58C7">
        <w:trPr>
          <w:trHeight w:val="583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0942B5" w:rsidRDefault="004F6627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0942B5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0942B5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0942B5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0942B5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0942B5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942B5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0942B5" w:rsidRDefault="00001428" w:rsidP="008451FA">
            <w:pPr>
              <w:ind w:left="142" w:right="85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2.1. </w:t>
            </w:r>
            <w:r w:rsidR="008451FA" w:rsidRPr="000942B5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0942B5" w:rsidRDefault="008451FA" w:rsidP="008451FA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0942B5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Директоров. В соответствии с Федеральным законам «Об акционерных обществах» и Уставом ОАО «РУСАЛ Братск» кворум имеется.</w:t>
            </w:r>
          </w:p>
          <w:p w:rsidR="008451FA" w:rsidRPr="000942B5" w:rsidRDefault="008451FA" w:rsidP="008451FA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0942B5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0942B5" w:rsidRDefault="008451FA" w:rsidP="008451FA">
            <w:pPr>
              <w:ind w:left="142" w:right="85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05626E" w:rsidRPr="000942B5" w:rsidRDefault="006A50A0" w:rsidP="0005626E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0942B5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0942B5">
              <w:rPr>
                <w:b/>
                <w:i/>
                <w:sz w:val="22"/>
                <w:szCs w:val="22"/>
              </w:rPr>
              <w:t>:</w:t>
            </w:r>
            <w:r w:rsidRPr="000942B5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E87DFA" w:rsidRPr="00E87DFA" w:rsidRDefault="00B24109" w:rsidP="00E87DFA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B24109">
              <w:rPr>
                <w:b/>
                <w:bCs/>
                <w:i/>
                <w:sz w:val="22"/>
                <w:szCs w:val="22"/>
              </w:rPr>
              <w:t>1.</w:t>
            </w:r>
            <w:r w:rsidR="00E87DFA">
              <w:rPr>
                <w:b/>
                <w:sz w:val="22"/>
                <w:szCs w:val="22"/>
              </w:rPr>
              <w:t xml:space="preserve"> </w:t>
            </w:r>
            <w:r w:rsidR="00E87DFA" w:rsidRPr="00E87DFA">
              <w:rPr>
                <w:b/>
                <w:bCs/>
                <w:i/>
                <w:sz w:val="22"/>
                <w:szCs w:val="22"/>
              </w:rPr>
              <w:t>Об одобрении крупной сделки (нескольких взаимосвязанных сделок) по приобретению облигаций ОАО «РУСАЛ Братск» серии 08 по требованию их владельцев.</w:t>
            </w:r>
          </w:p>
          <w:p w:rsidR="0005626E" w:rsidRDefault="006A50A0" w:rsidP="00F061F3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0942B5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C6CC0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B24109">
              <w:rPr>
                <w:b/>
                <w:i/>
                <w:sz w:val="22"/>
                <w:szCs w:val="22"/>
                <w:u w:val="single"/>
              </w:rPr>
              <w:t xml:space="preserve">№1 </w:t>
            </w:r>
            <w:r w:rsidR="00F061F3" w:rsidRPr="000942B5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0942B5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0942B5">
              <w:rPr>
                <w:b/>
                <w:i/>
                <w:sz w:val="22"/>
                <w:szCs w:val="22"/>
              </w:rPr>
              <w:t>:</w:t>
            </w:r>
          </w:p>
          <w:p w:rsidR="00E87DFA" w:rsidRPr="00E87DFA" w:rsidRDefault="00E87DFA" w:rsidP="00E87DFA">
            <w:pPr>
              <w:pStyle w:val="a3"/>
              <w:tabs>
                <w:tab w:val="left" w:pos="142"/>
              </w:tabs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E87DFA">
              <w:rPr>
                <w:b/>
                <w:bCs/>
                <w:i/>
                <w:sz w:val="22"/>
                <w:szCs w:val="22"/>
              </w:rPr>
              <w:t xml:space="preserve">В соответствии со ст. ст.78, 79 Федерального закона «Об акционерных обществах» одобрить крупную сделку (несколько взаимосвязанных сделок), по приобретению ОАО «РУСАЛ Братск» (далее также </w:t>
            </w:r>
            <w:proofErr w:type="gramStart"/>
            <w:r w:rsidRPr="00E87DFA">
              <w:rPr>
                <w:b/>
                <w:bCs/>
                <w:i/>
                <w:sz w:val="22"/>
                <w:szCs w:val="22"/>
              </w:rPr>
              <w:t>–Э</w:t>
            </w:r>
            <w:proofErr w:type="gramEnd"/>
            <w:r w:rsidRPr="00E87DFA">
              <w:rPr>
                <w:b/>
                <w:bCs/>
                <w:i/>
                <w:sz w:val="22"/>
                <w:szCs w:val="22"/>
              </w:rPr>
              <w:t xml:space="preserve">митент) на основании п. 9.3.2, 10.1.1. Решения о выпуске ценных бумаг,  неконвертируемых процентных документарных облигаций ОАО «РУСАЛ Братск» на предъявителя серии 08 </w:t>
            </w:r>
            <w:r w:rsidRPr="00E87DFA">
              <w:rPr>
                <w:bCs/>
                <w:szCs w:val="22"/>
              </w:rPr>
              <w:t xml:space="preserve">(государственный регистрационный номер выпуска </w:t>
            </w:r>
            <w:r w:rsidRPr="00E87DFA">
              <w:rPr>
                <w:b/>
                <w:bCs/>
                <w:i/>
                <w:sz w:val="22"/>
                <w:szCs w:val="22"/>
              </w:rPr>
              <w:t xml:space="preserve">4-08-20075-F от 20 мая 2010г.) номинальной стоимостью 1 000 (Одна тысяча) рублей каждая,  по требованию их владельцев. </w:t>
            </w:r>
          </w:p>
          <w:p w:rsidR="00E87DFA" w:rsidRPr="00E87DFA" w:rsidRDefault="00E87DFA" w:rsidP="00E87DFA">
            <w:pPr>
              <w:pStyle w:val="a3"/>
              <w:tabs>
                <w:tab w:val="left" w:pos="142"/>
              </w:tabs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E87DFA">
              <w:rPr>
                <w:b/>
                <w:bCs/>
                <w:i/>
                <w:sz w:val="22"/>
                <w:szCs w:val="22"/>
              </w:rPr>
              <w:t xml:space="preserve">Количество приобретаемых Облигаций определяется в соответствии с полученными требованиями владельцев Облигаций, предъявленными в порядке, установленном  п.  9.3.2, 10.1.1. Решения о выпуске ценных бумаг, и не превышает 15 000 000 (Пятнадцать миллионов) штук  в соответствии с количеством облигаций выпуска. </w:t>
            </w:r>
          </w:p>
          <w:p w:rsidR="00E87DFA" w:rsidRPr="00E87DFA" w:rsidRDefault="00E87DFA" w:rsidP="00E87DFA">
            <w:pPr>
              <w:pStyle w:val="a3"/>
              <w:tabs>
                <w:tab w:val="left" w:pos="142"/>
              </w:tabs>
              <w:ind w:left="142"/>
              <w:jc w:val="both"/>
              <w:rPr>
                <w:szCs w:val="22"/>
              </w:rPr>
            </w:pPr>
            <w:r w:rsidRPr="00E87DFA">
              <w:rPr>
                <w:b/>
                <w:bCs/>
                <w:i/>
                <w:sz w:val="22"/>
                <w:szCs w:val="22"/>
              </w:rPr>
              <w:t xml:space="preserve">Общая номинальная  стоимость  приобретаемых Облигаций определяется в соответствии с полученными требованиями владельцев Облигаций, предъявленными в порядке, установленном  п.  9.3.2, 10.1.1 Решения о выпуске ценных бумаг, и не превышает 15 000 000 000 (Пятнадцать миллиардов) рублей. </w:t>
            </w:r>
          </w:p>
          <w:p w:rsidR="00E87DFA" w:rsidRPr="00E87DFA" w:rsidRDefault="00E87DFA" w:rsidP="00E87DFA">
            <w:pPr>
              <w:pStyle w:val="a3"/>
              <w:tabs>
                <w:tab w:val="left" w:pos="142"/>
              </w:tabs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E87DFA">
              <w:rPr>
                <w:b/>
                <w:bCs/>
                <w:i/>
                <w:sz w:val="22"/>
                <w:szCs w:val="22"/>
              </w:rPr>
              <w:t xml:space="preserve">Цена сделки (нескольких взаимосвязанных сделок) составляет цену, равную 100 (сто) процентов непогашенной части номинальной стоимости Облигаций, приобретаемых Эмитентом по требованию их владельцев, без </w:t>
            </w:r>
            <w:proofErr w:type="gramStart"/>
            <w:r w:rsidRPr="00E87DFA">
              <w:rPr>
                <w:b/>
                <w:bCs/>
                <w:i/>
                <w:sz w:val="22"/>
                <w:szCs w:val="22"/>
              </w:rPr>
              <w:t>учета</w:t>
            </w:r>
            <w:proofErr w:type="gramEnd"/>
            <w:r w:rsidRPr="00E87DFA">
              <w:rPr>
                <w:b/>
                <w:bCs/>
                <w:i/>
                <w:sz w:val="22"/>
                <w:szCs w:val="22"/>
              </w:rPr>
              <w:t xml:space="preserve"> накопленного на дату приобретения купонного дохода, который </w:t>
            </w:r>
            <w:r w:rsidRPr="00E87DFA">
              <w:rPr>
                <w:szCs w:val="22"/>
              </w:rPr>
              <w:t>рассчитывается в соответствии с п. 15 Решения о выпуске ценных бумаг и п. 10.10. Проспекта ценных бумаг  и</w:t>
            </w:r>
            <w:r w:rsidRPr="00E87DFA">
              <w:rPr>
                <w:sz w:val="22"/>
                <w:szCs w:val="22"/>
              </w:rPr>
              <w:t xml:space="preserve"> </w:t>
            </w:r>
            <w:r w:rsidRPr="00E87DFA">
              <w:rPr>
                <w:b/>
                <w:bCs/>
                <w:i/>
                <w:sz w:val="22"/>
                <w:szCs w:val="22"/>
              </w:rPr>
              <w:t>уплачивается продавцу Облигаций сверх указанной цены приобретения, в дату приобретения, что может превысить  25 %, но не превысит 50 % от  балансовой стоимости активов ОАО «РУСАЛ Братск» на последнюю отчетную дату.</w:t>
            </w:r>
          </w:p>
          <w:p w:rsidR="00E87DFA" w:rsidRPr="00E87DFA" w:rsidRDefault="00E87DFA" w:rsidP="00E87DFA">
            <w:pPr>
              <w:pStyle w:val="a3"/>
              <w:tabs>
                <w:tab w:val="left" w:pos="142"/>
              </w:tabs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E87DFA">
              <w:rPr>
                <w:b/>
                <w:bCs/>
                <w:i/>
                <w:sz w:val="22"/>
                <w:szCs w:val="22"/>
              </w:rPr>
              <w:t xml:space="preserve">Стороны сделки (нескольких взаимосвязанных сделок): ОАО «РУСАЛ Братск» (в качестве покупателя) и владельцы Облигаций серии 08 (в качестве продавцов). </w:t>
            </w:r>
          </w:p>
          <w:p w:rsidR="008D5C1D" w:rsidRPr="000942B5" w:rsidRDefault="008D5C1D" w:rsidP="00F061F3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615E3D" w:rsidRPr="00615E3D">
              <w:rPr>
                <w:b/>
                <w:i/>
                <w:sz w:val="22"/>
                <w:szCs w:val="22"/>
              </w:rPr>
              <w:t xml:space="preserve"> </w:t>
            </w:r>
            <w:r w:rsidR="00B24109" w:rsidRPr="00B24109">
              <w:rPr>
                <w:b/>
                <w:i/>
                <w:sz w:val="22"/>
                <w:szCs w:val="22"/>
              </w:rPr>
              <w:t>1</w:t>
            </w:r>
            <w:r w:rsidR="00E87DFA">
              <w:rPr>
                <w:b/>
                <w:i/>
                <w:sz w:val="22"/>
                <w:szCs w:val="22"/>
              </w:rPr>
              <w:t>0</w:t>
            </w:r>
            <w:r w:rsidR="000C6CC0">
              <w:rPr>
                <w:b/>
                <w:i/>
                <w:sz w:val="22"/>
                <w:szCs w:val="22"/>
              </w:rPr>
              <w:t xml:space="preserve"> </w:t>
            </w:r>
            <w:r w:rsidR="00E87DFA">
              <w:rPr>
                <w:b/>
                <w:i/>
                <w:sz w:val="22"/>
                <w:szCs w:val="22"/>
              </w:rPr>
              <w:t>апреля</w:t>
            </w:r>
            <w:r w:rsidR="00B24109">
              <w:rPr>
                <w:b/>
                <w:i/>
                <w:sz w:val="22"/>
                <w:szCs w:val="22"/>
              </w:rPr>
              <w:t xml:space="preserve"> </w:t>
            </w:r>
            <w:r w:rsidRPr="000942B5">
              <w:rPr>
                <w:b/>
                <w:i/>
                <w:sz w:val="22"/>
                <w:szCs w:val="22"/>
              </w:rPr>
              <w:t>201</w:t>
            </w:r>
            <w:r w:rsidR="00F807DB">
              <w:rPr>
                <w:b/>
                <w:i/>
                <w:sz w:val="22"/>
                <w:szCs w:val="22"/>
              </w:rPr>
              <w:t>5</w:t>
            </w:r>
            <w:r w:rsidRPr="000942B5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0942B5" w:rsidRDefault="008D5C1D" w:rsidP="004F6627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F807DB">
              <w:rPr>
                <w:b/>
                <w:i/>
                <w:sz w:val="22"/>
                <w:szCs w:val="22"/>
              </w:rPr>
              <w:t xml:space="preserve"> </w:t>
            </w:r>
            <w:r w:rsidR="004F6627">
              <w:rPr>
                <w:b/>
                <w:i/>
                <w:sz w:val="22"/>
                <w:szCs w:val="22"/>
              </w:rPr>
              <w:t>13</w:t>
            </w:r>
            <w:r w:rsidR="00E87DFA">
              <w:rPr>
                <w:b/>
                <w:i/>
                <w:sz w:val="22"/>
                <w:szCs w:val="22"/>
              </w:rPr>
              <w:t xml:space="preserve"> апреля</w:t>
            </w:r>
            <w:r w:rsidR="00C83E51" w:rsidRPr="000942B5">
              <w:rPr>
                <w:b/>
                <w:i/>
                <w:sz w:val="22"/>
                <w:szCs w:val="22"/>
              </w:rPr>
              <w:t xml:space="preserve"> </w:t>
            </w:r>
            <w:r w:rsidRPr="000942B5">
              <w:rPr>
                <w:b/>
                <w:i/>
                <w:sz w:val="22"/>
                <w:szCs w:val="22"/>
              </w:rPr>
              <w:t>201</w:t>
            </w:r>
            <w:r w:rsidR="00B24109">
              <w:rPr>
                <w:b/>
                <w:i/>
                <w:sz w:val="22"/>
                <w:szCs w:val="22"/>
              </w:rPr>
              <w:t>5</w:t>
            </w:r>
            <w:r w:rsidRPr="000942B5">
              <w:rPr>
                <w:b/>
                <w:i/>
                <w:sz w:val="22"/>
                <w:szCs w:val="22"/>
              </w:rPr>
              <w:t xml:space="preserve"> года, № </w:t>
            </w:r>
            <w:r w:rsidR="00B24109">
              <w:rPr>
                <w:b/>
                <w:i/>
                <w:sz w:val="22"/>
                <w:szCs w:val="22"/>
              </w:rPr>
              <w:t>3</w:t>
            </w:r>
            <w:r w:rsidR="00E87DFA">
              <w:rPr>
                <w:b/>
                <w:i/>
                <w:sz w:val="22"/>
                <w:szCs w:val="22"/>
              </w:rPr>
              <w:t>6</w:t>
            </w:r>
            <w:r w:rsidRPr="000942B5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C40AE7" w:rsidRPr="000942B5" w:rsidTr="007D58C7">
        <w:trPr>
          <w:trHeight w:val="284"/>
        </w:trPr>
        <w:tc>
          <w:tcPr>
            <w:tcW w:w="10057" w:type="dxa"/>
            <w:vAlign w:val="center"/>
          </w:tcPr>
          <w:p w:rsidR="00C40AE7" w:rsidRPr="000942B5" w:rsidRDefault="00C40AE7" w:rsidP="008451FA">
            <w:pPr>
              <w:ind w:left="142" w:right="85"/>
              <w:rPr>
                <w:sz w:val="22"/>
                <w:szCs w:val="22"/>
              </w:rPr>
            </w:pPr>
          </w:p>
        </w:tc>
      </w:tr>
    </w:tbl>
    <w:p w:rsidR="004E0BF4" w:rsidRPr="000942B5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0942B5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3. Подпись</w:t>
            </w:r>
          </w:p>
        </w:tc>
      </w:tr>
      <w:tr w:rsidR="004E0BF4" w:rsidRPr="000942B5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0942B5" w:rsidRDefault="004E0BF4" w:rsidP="00486841">
            <w:pPr>
              <w:widowControl w:val="0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0942B5" w:rsidRDefault="004E0BF4" w:rsidP="00486841">
            <w:pPr>
              <w:ind w:left="57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А.Ю. </w:t>
            </w:r>
            <w:proofErr w:type="spellStart"/>
            <w:r w:rsidRPr="000942B5">
              <w:rPr>
                <w:sz w:val="22"/>
                <w:szCs w:val="22"/>
              </w:rPr>
              <w:t>Волвенкин</w:t>
            </w:r>
            <w:proofErr w:type="spellEnd"/>
          </w:p>
        </w:tc>
      </w:tr>
      <w:tr w:rsidR="004E0BF4" w:rsidRPr="000942B5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0942B5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A072A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486841">
            <w:pPr>
              <w:tabs>
                <w:tab w:val="right" w:pos="1091"/>
              </w:tabs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3.2. Дата</w:t>
            </w:r>
            <w:r w:rsidRPr="000942B5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503CB8" w:rsidRDefault="004F6627" w:rsidP="00DE5DD5">
            <w:pPr>
              <w:jc w:val="center"/>
              <w:rPr>
                <w:sz w:val="22"/>
                <w:szCs w:val="22"/>
                <w:highlight w:val="yellow"/>
              </w:rPr>
            </w:pPr>
            <w:r w:rsidRPr="004F6627">
              <w:rPr>
                <w:sz w:val="22"/>
                <w:szCs w:val="22"/>
              </w:rPr>
              <w:t>13</w:t>
            </w:r>
            <w:bookmarkStart w:id="0" w:name="_GoBack"/>
            <w:bookmarkEnd w:id="0"/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7E0316" w:rsidRDefault="004E0BF4" w:rsidP="00486841">
            <w:pPr>
              <w:rPr>
                <w:sz w:val="22"/>
                <w:szCs w:val="22"/>
                <w:highlight w:val="yellow"/>
              </w:rPr>
            </w:pPr>
            <w:r w:rsidRPr="007E0316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E87DFA" w:rsidP="00E87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486841">
            <w:pPr>
              <w:jc w:val="right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F807DB">
            <w:pPr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1</w:t>
            </w:r>
            <w:r w:rsidR="00F807DB">
              <w:rPr>
                <w:sz w:val="22"/>
                <w:szCs w:val="22"/>
              </w:rPr>
              <w:t>5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9E67E7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 г.</w:t>
            </w:r>
            <w:r w:rsidRPr="000942B5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CA072A" w:rsidRDefault="00F025CF">
      <w:pPr>
        <w:rPr>
          <w:sz w:val="22"/>
          <w:szCs w:val="22"/>
        </w:rPr>
      </w:pPr>
    </w:p>
    <w:sectPr w:rsidR="00F025CF" w:rsidRPr="00CA072A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5626E"/>
    <w:rsid w:val="00084B81"/>
    <w:rsid w:val="000942B5"/>
    <w:rsid w:val="000C6CC0"/>
    <w:rsid w:val="000F6BDC"/>
    <w:rsid w:val="00104C95"/>
    <w:rsid w:val="00130D52"/>
    <w:rsid w:val="00145438"/>
    <w:rsid w:val="001500E9"/>
    <w:rsid w:val="00193CC3"/>
    <w:rsid w:val="00195C7D"/>
    <w:rsid w:val="001B206A"/>
    <w:rsid w:val="0023683F"/>
    <w:rsid w:val="00275F9D"/>
    <w:rsid w:val="002A4E0A"/>
    <w:rsid w:val="002F0F94"/>
    <w:rsid w:val="00347796"/>
    <w:rsid w:val="00375102"/>
    <w:rsid w:val="003F4F2F"/>
    <w:rsid w:val="00430948"/>
    <w:rsid w:val="00465F27"/>
    <w:rsid w:val="004832E2"/>
    <w:rsid w:val="004E0BF4"/>
    <w:rsid w:val="004E0C86"/>
    <w:rsid w:val="004E3A40"/>
    <w:rsid w:val="004F6627"/>
    <w:rsid w:val="00503CB8"/>
    <w:rsid w:val="005549E2"/>
    <w:rsid w:val="0056171D"/>
    <w:rsid w:val="0058452A"/>
    <w:rsid w:val="005B7370"/>
    <w:rsid w:val="005D1F22"/>
    <w:rsid w:val="00615E3D"/>
    <w:rsid w:val="00620D81"/>
    <w:rsid w:val="006730BE"/>
    <w:rsid w:val="006A339C"/>
    <w:rsid w:val="006A50A0"/>
    <w:rsid w:val="006C048C"/>
    <w:rsid w:val="006C4749"/>
    <w:rsid w:val="00722149"/>
    <w:rsid w:val="007320BA"/>
    <w:rsid w:val="00734A8F"/>
    <w:rsid w:val="0074590A"/>
    <w:rsid w:val="007873EB"/>
    <w:rsid w:val="007D58C7"/>
    <w:rsid w:val="007E0316"/>
    <w:rsid w:val="00816E9D"/>
    <w:rsid w:val="008451FA"/>
    <w:rsid w:val="008D5C1D"/>
    <w:rsid w:val="0090084F"/>
    <w:rsid w:val="00912972"/>
    <w:rsid w:val="00945EC1"/>
    <w:rsid w:val="009614D7"/>
    <w:rsid w:val="009772F4"/>
    <w:rsid w:val="009832F5"/>
    <w:rsid w:val="009856EE"/>
    <w:rsid w:val="009D0613"/>
    <w:rsid w:val="009D3415"/>
    <w:rsid w:val="009E67E7"/>
    <w:rsid w:val="00A07342"/>
    <w:rsid w:val="00A51B1E"/>
    <w:rsid w:val="00A65681"/>
    <w:rsid w:val="00A91469"/>
    <w:rsid w:val="00B17FDB"/>
    <w:rsid w:val="00B24109"/>
    <w:rsid w:val="00B37E84"/>
    <w:rsid w:val="00B564CE"/>
    <w:rsid w:val="00BD24A2"/>
    <w:rsid w:val="00BF1CCE"/>
    <w:rsid w:val="00C40AE7"/>
    <w:rsid w:val="00C44C3E"/>
    <w:rsid w:val="00C83E51"/>
    <w:rsid w:val="00CA072A"/>
    <w:rsid w:val="00CE5F65"/>
    <w:rsid w:val="00CE7602"/>
    <w:rsid w:val="00D021EE"/>
    <w:rsid w:val="00D528D9"/>
    <w:rsid w:val="00DC58AA"/>
    <w:rsid w:val="00DE5DD5"/>
    <w:rsid w:val="00E72D62"/>
    <w:rsid w:val="00E87DFA"/>
    <w:rsid w:val="00EA28F2"/>
    <w:rsid w:val="00EC265A"/>
    <w:rsid w:val="00EC5E98"/>
    <w:rsid w:val="00EF1956"/>
    <w:rsid w:val="00F025CF"/>
    <w:rsid w:val="00F061F3"/>
    <w:rsid w:val="00F57471"/>
    <w:rsid w:val="00F645CC"/>
    <w:rsid w:val="00F7668B"/>
    <w:rsid w:val="00F807DB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D919B-2913-47EB-9A09-8E1B4C58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6</cp:revision>
  <cp:lastPrinted>2014-07-31T23:43:00Z</cp:lastPrinted>
  <dcterms:created xsi:type="dcterms:W3CDTF">2015-02-24T07:33:00Z</dcterms:created>
  <dcterms:modified xsi:type="dcterms:W3CDTF">2015-04-10T14:05:00Z</dcterms:modified>
</cp:coreProperties>
</file>