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00" w:rsidRDefault="00F82F00" w:rsidP="0025704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5704A">
        <w:rPr>
          <w:b/>
          <w:sz w:val="24"/>
          <w:szCs w:val="24"/>
        </w:rPr>
        <w:t xml:space="preserve">Сообщение </w:t>
      </w:r>
      <w:r w:rsidR="00D82418">
        <w:rPr>
          <w:b/>
          <w:sz w:val="24"/>
          <w:szCs w:val="24"/>
        </w:rPr>
        <w:t xml:space="preserve">о существенном факте </w:t>
      </w:r>
    </w:p>
    <w:p w:rsidR="00D37032" w:rsidRDefault="00D82418" w:rsidP="002570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D37032">
        <w:rPr>
          <w:b/>
          <w:sz w:val="24"/>
          <w:szCs w:val="24"/>
        </w:rPr>
        <w:t xml:space="preserve">совершении эмитентом или лицом, предоставившим </w:t>
      </w:r>
    </w:p>
    <w:p w:rsidR="00D82418" w:rsidRDefault="00D37032" w:rsidP="002570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обеспечение по облигациям эмитента, существенной сделки</w:t>
      </w:r>
    </w:p>
    <w:p w:rsidR="00F82F00" w:rsidRPr="0025704A" w:rsidRDefault="00F82F00" w:rsidP="0025704A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F82F00">
        <w:trPr>
          <w:cantSplit/>
        </w:trPr>
        <w:tc>
          <w:tcPr>
            <w:tcW w:w="9951" w:type="dxa"/>
            <w:gridSpan w:val="2"/>
          </w:tcPr>
          <w:p w:rsidR="00F82F00" w:rsidRDefault="00F82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BC5007" w:rsidRPr="008770DA" w:rsidTr="00DD15B6">
        <w:tc>
          <w:tcPr>
            <w:tcW w:w="4975" w:type="dxa"/>
          </w:tcPr>
          <w:p w:rsidR="00BC5007" w:rsidRPr="008770DA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BC5007" w:rsidRPr="00771636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1636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</w:p>
          <w:p w:rsidR="00BC5007" w:rsidRPr="00771636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1636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BC5007" w:rsidRPr="008770DA" w:rsidTr="00DD15B6">
        <w:tc>
          <w:tcPr>
            <w:tcW w:w="4975" w:type="dxa"/>
          </w:tcPr>
          <w:p w:rsidR="00BC5007" w:rsidRPr="008770DA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BC5007" w:rsidRPr="00771636" w:rsidRDefault="00BC5007" w:rsidP="00B55D6B">
            <w:pPr>
              <w:keepNext/>
              <w:spacing w:before="24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771636">
              <w:rPr>
                <w:b/>
                <w:bCs/>
                <w:i/>
                <w:iCs/>
                <w:sz w:val="22"/>
                <w:szCs w:val="22"/>
              </w:rPr>
              <w:t>ОАО «РУСАЛ Братск»</w:t>
            </w:r>
          </w:p>
        </w:tc>
      </w:tr>
      <w:tr w:rsidR="00BC5007" w:rsidRPr="008770DA" w:rsidTr="00DD15B6">
        <w:tc>
          <w:tcPr>
            <w:tcW w:w="4975" w:type="dxa"/>
          </w:tcPr>
          <w:p w:rsidR="00BC5007" w:rsidRPr="008770DA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BC5007" w:rsidRPr="00771636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1636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BC5007" w:rsidRPr="008770DA" w:rsidTr="00DD15B6">
        <w:tc>
          <w:tcPr>
            <w:tcW w:w="4975" w:type="dxa"/>
          </w:tcPr>
          <w:p w:rsidR="00BC5007" w:rsidRPr="008770DA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BC5007" w:rsidRPr="00771636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1636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BC5007" w:rsidRPr="008770DA" w:rsidTr="00DD15B6">
        <w:tc>
          <w:tcPr>
            <w:tcW w:w="4975" w:type="dxa"/>
          </w:tcPr>
          <w:p w:rsidR="00BC5007" w:rsidRPr="008770DA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BC5007" w:rsidRPr="00771636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1636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BC5007" w:rsidRPr="008770DA" w:rsidTr="00DD15B6">
        <w:tc>
          <w:tcPr>
            <w:tcW w:w="4975" w:type="dxa"/>
          </w:tcPr>
          <w:p w:rsidR="00BC5007" w:rsidRPr="008770DA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1.6.</w:t>
            </w:r>
            <w:r w:rsidRPr="008770DA">
              <w:rPr>
                <w:sz w:val="22"/>
                <w:szCs w:val="22"/>
                <w:lang w:val="en-US"/>
              </w:rPr>
              <w:t> </w:t>
            </w:r>
            <w:r w:rsidRPr="008770DA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BC5007" w:rsidRPr="00771636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1636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BC5007" w:rsidRPr="008770DA">
        <w:tc>
          <w:tcPr>
            <w:tcW w:w="4975" w:type="dxa"/>
          </w:tcPr>
          <w:p w:rsidR="00BC5007" w:rsidRPr="008770DA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1.7.</w:t>
            </w:r>
            <w:r w:rsidRPr="008770DA">
              <w:rPr>
                <w:sz w:val="22"/>
                <w:szCs w:val="22"/>
                <w:lang w:val="en-US"/>
              </w:rPr>
              <w:t> </w:t>
            </w:r>
            <w:r w:rsidRPr="008770DA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BC5007" w:rsidRPr="00771636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Pr="00771636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www</w:t>
              </w:r>
              <w:r w:rsidRPr="00771636">
                <w:rPr>
                  <w:rStyle w:val="a7"/>
                  <w:b/>
                  <w:i/>
                  <w:sz w:val="22"/>
                  <w:szCs w:val="22"/>
                </w:rPr>
                <w:t>.</w:t>
              </w:r>
              <w:r w:rsidRPr="00771636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braz</w:t>
              </w:r>
              <w:r w:rsidRPr="00771636">
                <w:rPr>
                  <w:rStyle w:val="a7"/>
                  <w:b/>
                  <w:i/>
                  <w:sz w:val="22"/>
                  <w:szCs w:val="22"/>
                </w:rPr>
                <w:t>-</w:t>
              </w:r>
              <w:r w:rsidRPr="00771636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rusal</w:t>
              </w:r>
              <w:r w:rsidRPr="00771636">
                <w:rPr>
                  <w:rStyle w:val="a7"/>
                  <w:b/>
                  <w:i/>
                  <w:sz w:val="22"/>
                  <w:szCs w:val="22"/>
                </w:rPr>
                <w:t>.</w:t>
              </w:r>
              <w:r w:rsidRPr="00771636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Pr="00771636">
              <w:rPr>
                <w:b/>
                <w:i/>
                <w:sz w:val="22"/>
                <w:szCs w:val="22"/>
              </w:rPr>
              <w:t xml:space="preserve">, </w:t>
            </w:r>
            <w:hyperlink r:id="rId9" w:history="1">
              <w:r w:rsidRPr="00771636">
                <w:rPr>
                  <w:rStyle w:val="a7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F82F00" w:rsidRPr="00BC5007" w:rsidRDefault="00F82F0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9A5AE8" w:rsidRPr="00FA453E" w:rsidTr="00FA453E">
        <w:tc>
          <w:tcPr>
            <w:tcW w:w="9889" w:type="dxa"/>
            <w:shd w:val="clear" w:color="auto" w:fill="auto"/>
          </w:tcPr>
          <w:p w:rsidR="009A5AE8" w:rsidRPr="00FA453E" w:rsidRDefault="009A5AE8" w:rsidP="00FA453E">
            <w:pPr>
              <w:jc w:val="center"/>
              <w:rPr>
                <w:b/>
                <w:sz w:val="22"/>
                <w:szCs w:val="22"/>
              </w:rPr>
            </w:pPr>
            <w:r w:rsidRPr="00FA453E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9A5AE8" w:rsidRPr="00FA453E" w:rsidTr="00FA453E">
        <w:tc>
          <w:tcPr>
            <w:tcW w:w="9889" w:type="dxa"/>
            <w:shd w:val="clear" w:color="auto" w:fill="auto"/>
          </w:tcPr>
          <w:p w:rsidR="009A5AE8" w:rsidRPr="00FA453E" w:rsidRDefault="009A5AE8" w:rsidP="007E49ED">
            <w:pPr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 w:rsidRPr="00FA453E">
              <w:rPr>
                <w:sz w:val="22"/>
                <w:szCs w:val="22"/>
              </w:rPr>
              <w:t xml:space="preserve">2.1. Вид организации, которая совершила существенную сделку: </w:t>
            </w:r>
            <w:r w:rsidR="00BC5007">
              <w:rPr>
                <w:b/>
                <w:i/>
                <w:sz w:val="22"/>
                <w:szCs w:val="22"/>
              </w:rPr>
              <w:t>Лицо, предоставившее обеспечение по облигациям эмитента</w:t>
            </w:r>
            <w:r w:rsidRPr="00FA453E">
              <w:rPr>
                <w:b/>
                <w:i/>
                <w:sz w:val="22"/>
                <w:szCs w:val="22"/>
              </w:rPr>
              <w:t>.</w:t>
            </w:r>
          </w:p>
          <w:p w:rsidR="009A5AE8" w:rsidRDefault="009A5AE8" w:rsidP="007E49ED">
            <w:pPr>
              <w:ind w:left="142" w:right="113"/>
              <w:jc w:val="both"/>
              <w:rPr>
                <w:sz w:val="22"/>
                <w:szCs w:val="22"/>
              </w:rPr>
            </w:pPr>
            <w:r w:rsidRPr="00FA453E">
              <w:rPr>
                <w:sz w:val="22"/>
                <w:szCs w:val="22"/>
              </w:rPr>
              <w:t xml:space="preserve">2.2. </w:t>
            </w:r>
            <w:r w:rsidR="00BC5007">
              <w:rPr>
                <w:sz w:val="22"/>
                <w:szCs w:val="22"/>
              </w:rPr>
              <w:t>Сведения о лице, предоставившем обеспечение по облигациям эмитента:</w:t>
            </w:r>
          </w:p>
          <w:p w:rsidR="00BC5007" w:rsidRDefault="00BC5007" w:rsidP="007E49ED">
            <w:pPr>
              <w:ind w:left="128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фирменное наименование: </w:t>
            </w:r>
            <w:r w:rsidRPr="008770DA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770DA">
              <w:rPr>
                <w:b/>
                <w:bCs/>
                <w:i/>
                <w:iCs/>
                <w:sz w:val="22"/>
                <w:szCs w:val="22"/>
              </w:rPr>
              <w:t>«РУСАЛ Красноярский Алюминиевый Завод»</w:t>
            </w:r>
          </w:p>
          <w:p w:rsidR="00BC5007" w:rsidRDefault="00BC5007" w:rsidP="007E49ED">
            <w:pPr>
              <w:ind w:left="128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Место нахождения: </w:t>
            </w:r>
            <w:r>
              <w:rPr>
                <w:b/>
                <w:bCs/>
                <w:i/>
                <w:iCs/>
                <w:sz w:val="22"/>
                <w:szCs w:val="22"/>
              </w:rPr>
              <w:t>660111, Российская Федерация,</w:t>
            </w:r>
            <w:r w:rsidR="00EF135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770DA">
              <w:rPr>
                <w:b/>
                <w:bCs/>
                <w:i/>
                <w:iCs/>
                <w:sz w:val="22"/>
                <w:szCs w:val="22"/>
              </w:rPr>
              <w:t xml:space="preserve">ул. Пограничников, </w:t>
            </w:r>
            <w:smartTag w:uri="urn:schemas-microsoft-com:office:smarttags" w:element="metricconverter">
              <w:smartTagPr>
                <w:attr w:name="ProductID" w:val="40, г"/>
              </w:smartTagPr>
              <w:r w:rsidRPr="008770DA">
                <w:rPr>
                  <w:b/>
                  <w:bCs/>
                  <w:i/>
                  <w:iCs/>
                  <w:sz w:val="22"/>
                  <w:szCs w:val="22"/>
                </w:rPr>
                <w:t>40, г</w:t>
              </w:r>
            </w:smartTag>
            <w:r w:rsidRPr="008770DA">
              <w:rPr>
                <w:b/>
                <w:bCs/>
                <w:i/>
                <w:iCs/>
                <w:sz w:val="22"/>
                <w:szCs w:val="22"/>
              </w:rPr>
              <w:t>. Красноярск</w:t>
            </w:r>
          </w:p>
          <w:p w:rsidR="00BC5007" w:rsidRDefault="00BC5007" w:rsidP="007E49ED">
            <w:pPr>
              <w:ind w:left="128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: </w:t>
            </w:r>
            <w:r w:rsidRPr="008770DA">
              <w:rPr>
                <w:b/>
                <w:bCs/>
                <w:i/>
                <w:iCs/>
                <w:sz w:val="22"/>
                <w:szCs w:val="22"/>
              </w:rPr>
              <w:t>1022402468010</w:t>
            </w:r>
          </w:p>
          <w:p w:rsidR="00BC5007" w:rsidRDefault="00BC5007" w:rsidP="007E49ED">
            <w:pPr>
              <w:ind w:left="128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: </w:t>
            </w:r>
            <w:r w:rsidRPr="008770DA">
              <w:rPr>
                <w:b/>
                <w:bCs/>
                <w:i/>
                <w:iCs/>
                <w:sz w:val="22"/>
                <w:szCs w:val="22"/>
              </w:rPr>
              <w:t>2465000141</w:t>
            </w:r>
          </w:p>
          <w:p w:rsidR="00F554CE" w:rsidRDefault="00BC5007" w:rsidP="007E49ED">
            <w:pPr>
              <w:ind w:left="142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bCs/>
                <w:iCs/>
                <w:sz w:val="22"/>
                <w:szCs w:val="22"/>
              </w:rPr>
              <w:t xml:space="preserve">3. Категория сделки: </w:t>
            </w:r>
            <w:r w:rsidR="00F554CE" w:rsidRPr="00943EE0">
              <w:rPr>
                <w:b/>
                <w:bCs/>
                <w:i/>
                <w:iCs/>
                <w:sz w:val="22"/>
                <w:szCs w:val="24"/>
              </w:rPr>
              <w:t>крупная сделка, которая одновременно является сделкой, в совершении которой имелась заинтересованность.</w:t>
            </w:r>
            <w:r w:rsidR="00F554CE" w:rsidRPr="00943EE0">
              <w:rPr>
                <w:szCs w:val="22"/>
              </w:rPr>
              <w:t xml:space="preserve"> </w:t>
            </w:r>
          </w:p>
          <w:p w:rsidR="008C77A1" w:rsidRDefault="009A5AE8" w:rsidP="007E49ED">
            <w:pPr>
              <w:ind w:left="142" w:right="113"/>
              <w:jc w:val="both"/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</w:pPr>
            <w:r w:rsidRPr="00FA453E">
              <w:rPr>
                <w:sz w:val="22"/>
                <w:szCs w:val="22"/>
              </w:rPr>
              <w:t>2.</w:t>
            </w:r>
            <w:r w:rsidR="00BC5007">
              <w:rPr>
                <w:sz w:val="22"/>
                <w:szCs w:val="22"/>
              </w:rPr>
              <w:t>4</w:t>
            </w:r>
            <w:r w:rsidRPr="00FA453E">
              <w:rPr>
                <w:sz w:val="22"/>
                <w:szCs w:val="22"/>
              </w:rPr>
              <w:t xml:space="preserve">. Вид и предмет сделки: </w:t>
            </w:r>
            <w:r w:rsidR="008C77A1" w:rsidRPr="008770DA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Взаимосвязанные сделки</w:t>
            </w:r>
            <w:r w:rsidR="008C77A1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:</w:t>
            </w:r>
            <w:r w:rsidR="008C77A1" w:rsidRPr="008770DA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  <w:p w:rsidR="008C77A1" w:rsidRDefault="008C77A1" w:rsidP="008C77A1">
            <w:pPr>
              <w:ind w:left="142" w:right="114"/>
              <w:jc w:val="both"/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</w:pPr>
            <w:r w:rsidRPr="008770DA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изменения и дополнения к следующим договорам:</w:t>
            </w:r>
          </w:p>
          <w:p w:rsidR="008C77A1" w:rsidRDefault="008C77A1" w:rsidP="008C77A1">
            <w:pPr>
              <w:ind w:left="142" w:right="114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а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) договор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предэкспортного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финансир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вания на сумму до 4 750 000 000 долларов США между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United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Company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RUSAL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Plc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и BNP PARIBAS (SUISSE) SA в качестве агента по кредиту и агента по обеспечению и другими л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и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цами от 29 сентября 2011 года с изменениями и дополнениями</w:t>
            </w: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; </w:t>
            </w:r>
          </w:p>
          <w:p w:rsidR="008C77A1" w:rsidRDefault="008C77A1" w:rsidP="008C77A1">
            <w:pPr>
              <w:ind w:left="142" w:right="114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б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) мультивалютный договор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предэкспортного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финансирования на сумму до 400 000 000 долларов США между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United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Company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RUSAL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Plc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и ING BANK N.V. в качестве агента по кредиту и агента по обеспечению и другими лицами от 30 января 2013 г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да</w:t>
            </w: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; </w:t>
            </w:r>
          </w:p>
          <w:p w:rsidR="008C77A1" w:rsidRDefault="008C77A1" w:rsidP="008C77A1">
            <w:pPr>
              <w:ind w:left="142" w:right="114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8770DA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–</w:t>
            </w: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д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оговоры об изменении договоров банковского счета с изменениями и дополнениями</w:t>
            </w: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: </w:t>
            </w:r>
          </w:p>
          <w:p w:rsidR="008C77A1" w:rsidRDefault="008C77A1" w:rsidP="008C77A1">
            <w:pPr>
              <w:pStyle w:val="aa"/>
              <w:tabs>
                <w:tab w:val="left" w:pos="743"/>
              </w:tabs>
              <w:autoSpaceDE/>
              <w:autoSpaceDN/>
              <w:spacing w:after="0"/>
              <w:ind w:left="142" w:right="114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а) д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оговор об изменении договоров банковского счета, подлежащий заключению между Обществом в качестве клиента, Закрытым акционерным обществом «БНП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Париба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качестве Паспортного банка и BNP PARIBAS (SUISSE) SA в качестве Первоначальн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го Агента по кредиту и ING BANK N.V. в качестве</w:t>
            </w: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действующего Агента по кредиту;</w:t>
            </w:r>
          </w:p>
          <w:p w:rsidR="008C77A1" w:rsidRDefault="008C77A1" w:rsidP="008C77A1">
            <w:pPr>
              <w:pStyle w:val="aa"/>
              <w:tabs>
                <w:tab w:val="left" w:pos="743"/>
              </w:tabs>
              <w:autoSpaceDE/>
              <w:autoSpaceDN/>
              <w:spacing w:after="0"/>
              <w:ind w:left="142" w:right="114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б) д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оговор об изменении договоров банковского счета, подлежащий заключению между Обществом в качестве клиента, Закрытым акционерным обществом «ИНГ Банк (ЕВРАЗИЯ)» в качестве Паспортного банка и ING BANK N.</w:t>
            </w: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V. в качестве Агента по кредиту;</w:t>
            </w:r>
          </w:p>
          <w:p w:rsidR="008C77A1" w:rsidRPr="003C07A6" w:rsidRDefault="008C77A1" w:rsidP="008C77A1">
            <w:pPr>
              <w:pStyle w:val="aa"/>
              <w:tabs>
                <w:tab w:val="left" w:pos="743"/>
              </w:tabs>
              <w:autoSpaceDE/>
              <w:autoSpaceDN/>
              <w:spacing w:after="0"/>
              <w:ind w:left="142" w:right="114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8770DA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–</w:t>
            </w:r>
            <w:r w:rsidRPr="003C07A6">
              <w:rPr>
                <w:rFonts w:eastAsia="SimSun"/>
                <w:b/>
                <w:i/>
                <w:sz w:val="22"/>
                <w:lang w:eastAsia="en-US"/>
              </w:rPr>
              <w:t xml:space="preserve"> договор поручительства и гарантии возмещения убытков (</w:t>
            </w:r>
            <w:proofErr w:type="spellStart"/>
            <w:r w:rsidRPr="003C07A6">
              <w:rPr>
                <w:rFonts w:eastAsia="SimSun"/>
                <w:b/>
                <w:i/>
                <w:sz w:val="22"/>
                <w:lang w:eastAsia="en-US"/>
              </w:rPr>
              <w:t>Deed</w:t>
            </w:r>
            <w:proofErr w:type="spellEnd"/>
            <w:r w:rsidRPr="003C07A6">
              <w:rPr>
                <w:rFonts w:eastAsia="SimSun"/>
                <w:b/>
                <w:i/>
                <w:sz w:val="22"/>
                <w:lang w:eastAsia="en-US"/>
              </w:rPr>
              <w:t xml:space="preserve"> of </w:t>
            </w:r>
            <w:proofErr w:type="spellStart"/>
            <w:r w:rsidRPr="003C07A6">
              <w:rPr>
                <w:rFonts w:eastAsia="SimSun"/>
                <w:b/>
                <w:i/>
                <w:sz w:val="22"/>
                <w:lang w:eastAsia="en-US"/>
              </w:rPr>
              <w:t>Guarantee</w:t>
            </w:r>
            <w:proofErr w:type="spellEnd"/>
            <w:r w:rsidRPr="003C07A6">
              <w:rPr>
                <w:rFonts w:eastAsia="SimSun"/>
                <w:b/>
                <w:i/>
                <w:sz w:val="22"/>
                <w:lang w:eastAsia="en-US"/>
              </w:rPr>
              <w:t xml:space="preserve"> </w:t>
            </w:r>
            <w:proofErr w:type="spellStart"/>
            <w:r w:rsidRPr="003C07A6">
              <w:rPr>
                <w:rFonts w:eastAsia="SimSun"/>
                <w:b/>
                <w:i/>
                <w:sz w:val="22"/>
                <w:lang w:eastAsia="en-US"/>
              </w:rPr>
              <w:t>and</w:t>
            </w:r>
            <w:proofErr w:type="spellEnd"/>
            <w:r w:rsidRPr="003C07A6">
              <w:rPr>
                <w:rFonts w:eastAsia="SimSun"/>
                <w:b/>
                <w:i/>
                <w:sz w:val="22"/>
                <w:lang w:eastAsia="en-US"/>
              </w:rPr>
              <w:t xml:space="preserve"> </w:t>
            </w:r>
            <w:proofErr w:type="spellStart"/>
            <w:r w:rsidRPr="003C07A6">
              <w:rPr>
                <w:rFonts w:eastAsia="SimSun"/>
                <w:b/>
                <w:i/>
                <w:sz w:val="22"/>
                <w:lang w:eastAsia="en-US"/>
              </w:rPr>
              <w:t>Indemnity</w:t>
            </w:r>
            <w:proofErr w:type="spellEnd"/>
            <w:r w:rsidRPr="003C07A6">
              <w:rPr>
                <w:rFonts w:eastAsia="SimSun"/>
                <w:b/>
                <w:i/>
                <w:sz w:val="22"/>
                <w:lang w:eastAsia="en-US"/>
              </w:rPr>
              <w:t xml:space="preserve">) в новой редакции, заключенного между Обществом, ОАО «РУСАЛ», Открытым акционерным обществом «Объединенная Компания РУСАЛ – Торговый Дом», ОАО «СУАЛ», ОАО «РУСАЛ Братск», ОАО «РУСАЛ Новокузнецк» и ОАО «РУСАЛ Саяногорск» и ING BANK N.V. </w:t>
            </w:r>
            <w:r w:rsidRPr="003C07A6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  <w:p w:rsidR="009A5AE8" w:rsidRPr="00FA453E" w:rsidRDefault="009A5AE8" w:rsidP="00FA453E">
            <w:pPr>
              <w:ind w:left="142" w:right="114"/>
              <w:jc w:val="both"/>
              <w:rPr>
                <w:rFonts w:eastAsia="SimSun"/>
                <w:bCs/>
                <w:sz w:val="22"/>
                <w:szCs w:val="22"/>
                <w:lang w:eastAsia="en-US"/>
              </w:rPr>
            </w:pPr>
            <w:r w:rsidRPr="00FA453E">
              <w:rPr>
                <w:rFonts w:eastAsia="SimSun"/>
                <w:bCs/>
                <w:sz w:val="22"/>
                <w:szCs w:val="22"/>
                <w:lang w:eastAsia="en-US"/>
              </w:rPr>
              <w:t>2.</w:t>
            </w:r>
            <w:r w:rsidR="00BC5007">
              <w:rPr>
                <w:rFonts w:eastAsia="SimSun"/>
                <w:bCs/>
                <w:sz w:val="22"/>
                <w:szCs w:val="22"/>
                <w:lang w:eastAsia="en-US"/>
              </w:rPr>
              <w:t>5</w:t>
            </w:r>
            <w:r w:rsidRPr="00FA453E">
              <w:rPr>
                <w:rFonts w:eastAsia="SimSun"/>
                <w:bCs/>
                <w:sz w:val="22"/>
                <w:szCs w:val="22"/>
                <w:lang w:eastAsia="en-US"/>
              </w:rPr>
              <w:t xml:space="preserve">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8C77A1" w:rsidRPr="00AA2E93" w:rsidRDefault="008C77A1" w:rsidP="008C77A1">
            <w:pPr>
              <w:pStyle w:val="aa"/>
              <w:tabs>
                <w:tab w:val="left" w:pos="1080"/>
              </w:tabs>
              <w:autoSpaceDE/>
              <w:autoSpaceDN/>
              <w:spacing w:after="0"/>
              <w:ind w:left="176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bookmarkStart w:id="1" w:name="_cp_blt_1_6"/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1)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Изменения  и дополнения к следующим договорам: (i) договор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предэкспортного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финансир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вания на сумму до 4 750 000 000 долларов США между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United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Company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RUSAL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Plc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и BNP PARIBAS (SUISSE) SA в качестве агента по кредиту и агента по обеспечению и другими л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и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цами от 29 сентября 2011 года с изменениями и дополнениями (далее – «Договор на 4,75 млрд. долл. США») и (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ii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) мультивалютный договор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предэкспортного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финансирования на сумму до 400 000 000 долларов США между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United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Company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RUSAL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Plc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и ING BANK N.V. в качестве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lastRenderedPageBreak/>
              <w:t>агента по кредиту и агента по обеспечению и другими лицами от 30 января 2013 г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да (далее – «Договор на 400 млн. долл. США»), – составленные в форме единого документа (далее «Кредитный договор»), </w:t>
            </w: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заключенные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между, среди прочих лиц, </w:t>
            </w:r>
            <w:bookmarkStart w:id="2" w:name="_cp_text_1_1"/>
            <w:bookmarkEnd w:id="2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Обществом в качестве Российского поручителя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Russian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Guarantor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» в Кредитном договоре и Договоре поручительства, как указано ниже),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United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Company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RUSAL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Plc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в качестве заемщика, BNP PARIBAS (SUISSE) SA в качестве Первого агента по обеспечению, ING BANK N.V. в качестве Агента по кредиту, Второго агента по обеспечению, Хеджирующей стороны и Иностранного банка, а также поименованных в договоре Первоначальных кредиторов на следующих усл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виях:</w:t>
            </w:r>
          </w:p>
          <w:p w:rsidR="008C77A1" w:rsidRPr="00AA2E93" w:rsidRDefault="008C77A1" w:rsidP="008C77A1">
            <w:pPr>
              <w:pStyle w:val="aa"/>
              <w:tabs>
                <w:tab w:val="left" w:pos="1710"/>
              </w:tabs>
              <w:autoSpaceDE/>
              <w:autoSpaceDN/>
              <w:spacing w:after="0"/>
              <w:ind w:left="459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1.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u w:val="single"/>
                <w:lang w:eastAsia="en-US"/>
              </w:rPr>
              <w:t>Общая сумма кредита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: до эквивалента 5 150 000 000 (пять миллиардов сто пятьдесят миллионов) долларов США, состоящая из (без учета сумм, выплаченных в порядке п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гашения обязательств по Договору на 4,75 млрд. долл. США и Договору на 400 млн. долл. США):</w:t>
            </w:r>
          </w:p>
          <w:p w:rsidR="008C77A1" w:rsidRPr="00AA2E93" w:rsidRDefault="008C77A1" w:rsidP="008C77A1">
            <w:pPr>
              <w:pStyle w:val="aa"/>
              <w:tabs>
                <w:tab w:val="left" w:pos="1980"/>
              </w:tabs>
              <w:spacing w:after="0"/>
              <w:ind w:left="459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(a)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амортизируемого Транша «А» в размере до 3 750 000 000 (три миллиарда сем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ь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сот пятьдесят миллионов) долларов США и амортизируемого Транша «Б» в размере до 1 000 000 000 (один миллиард) долларов США в рамках Договора на 4,75 млрд. долл. США (рефинансируемого за счет Кредита «С» в размере до 1 000 000 000 (один миллиард) долларов США) и </w:t>
            </w:r>
          </w:p>
          <w:p w:rsidR="008C77A1" w:rsidRPr="00AA2E93" w:rsidRDefault="008C77A1" w:rsidP="008C77A1">
            <w:pPr>
              <w:pStyle w:val="aa"/>
              <w:tabs>
                <w:tab w:val="left" w:pos="1980"/>
              </w:tabs>
              <w:spacing w:after="0"/>
              <w:ind w:left="459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(b)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амортизируемых траншей по Договору на 400 млн. долл. США в размере до 100 000 000 (сто миллионов) долларов США и до 168 500 000 (сто шестьдесят восемь миллионов пятьсот тысяч) евро (далее совместно – «400 млн. Транш»);</w:t>
            </w:r>
          </w:p>
          <w:p w:rsidR="008C77A1" w:rsidRPr="00AA2E93" w:rsidRDefault="008C77A1" w:rsidP="008C77A1">
            <w:pPr>
              <w:pStyle w:val="aa"/>
              <w:tabs>
                <w:tab w:val="left" w:pos="1710"/>
              </w:tabs>
              <w:autoSpaceDE/>
              <w:autoSpaceDN/>
              <w:spacing w:after="0"/>
              <w:ind w:left="459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2.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u w:val="single"/>
                <w:lang w:eastAsia="en-US"/>
              </w:rPr>
              <w:t>Окончательный срок погашения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: окончательный срок погашения Транша «А» по Д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говору на 4,75 млрд. долл. США и 400 млн. Транша наступает 31 декабря 2018 года, при этом задолженность по Траншу «Б» по Договору на 4,75 млрд. долл. США подл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е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жит погашению в Дату вступления в силу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Effective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Date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за счет средств, предоставленных в порядке рефинансирования в рамках Кредита «С», окончательный срок погашения которого наступает 31 декабря 2020 г.;</w:t>
            </w:r>
          </w:p>
          <w:p w:rsidR="008C77A1" w:rsidRPr="00AA2E93" w:rsidRDefault="008C77A1" w:rsidP="008C77A1">
            <w:pPr>
              <w:pStyle w:val="aa"/>
              <w:numPr>
                <w:ilvl w:val="0"/>
                <w:numId w:val="6"/>
              </w:numPr>
              <w:tabs>
                <w:tab w:val="clear" w:pos="720"/>
                <w:tab w:val="num" w:pos="176"/>
                <w:tab w:val="left" w:pos="459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u w:val="single"/>
                <w:lang w:eastAsia="en-US"/>
              </w:rPr>
              <w:t>Порядок</w:t>
            </w:r>
            <w:r w:rsidRPr="00AA2E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u w:val="single"/>
                <w:lang w:eastAsia="en-US"/>
              </w:rPr>
              <w:t>погашения</w:t>
            </w:r>
            <w:r w:rsidRPr="00AA2E93">
              <w:rPr>
                <w:b/>
                <w:i/>
                <w:sz w:val="22"/>
                <w:szCs w:val="22"/>
              </w:rPr>
              <w:t xml:space="preserve">: </w:t>
            </w:r>
          </w:p>
          <w:p w:rsidR="008C77A1" w:rsidRPr="00AA2E93" w:rsidRDefault="008C77A1" w:rsidP="008C77A1">
            <w:pPr>
              <w:pStyle w:val="aa"/>
              <w:tabs>
                <w:tab w:val="left" w:pos="1980"/>
              </w:tabs>
              <w:spacing w:after="0"/>
              <w:ind w:left="459"/>
              <w:jc w:val="both"/>
              <w:rPr>
                <w:b/>
                <w:i/>
                <w:sz w:val="22"/>
                <w:szCs w:val="22"/>
              </w:rPr>
            </w:pPr>
            <w:r w:rsidRPr="00AA2E93">
              <w:rPr>
                <w:b/>
                <w:i/>
                <w:sz w:val="22"/>
                <w:szCs w:val="22"/>
              </w:rPr>
              <w:t>(</w:t>
            </w:r>
            <w:r w:rsidRPr="00AA2E93">
              <w:rPr>
                <w:b/>
                <w:i/>
                <w:sz w:val="22"/>
                <w:szCs w:val="22"/>
                <w:lang w:val="en-US"/>
              </w:rPr>
              <w:t>a</w:t>
            </w:r>
            <w:r>
              <w:rPr>
                <w:b/>
                <w:i/>
                <w:sz w:val="22"/>
                <w:szCs w:val="22"/>
              </w:rPr>
              <w:t>)</w:t>
            </w:r>
            <w:r w:rsidRPr="00AA2E93">
              <w:rPr>
                <w:b/>
                <w:i/>
                <w:sz w:val="22"/>
                <w:szCs w:val="22"/>
              </w:rPr>
              <w:t>Транш «А» по Договору на 4,75 млрд. долл. США и 400 млн. Транш подлежат погашению посредством осуществления равных выплат на ежеквартальной основе, начиная с 12 января 2016 года, в порядке, установленном в статье 5 (Пог</w:t>
            </w:r>
            <w:r w:rsidRPr="00AA2E93">
              <w:rPr>
                <w:b/>
                <w:i/>
                <w:sz w:val="22"/>
                <w:szCs w:val="22"/>
              </w:rPr>
              <w:t>а</w:t>
            </w:r>
            <w:r w:rsidRPr="00AA2E93">
              <w:rPr>
                <w:b/>
                <w:i/>
                <w:sz w:val="22"/>
                <w:szCs w:val="22"/>
              </w:rPr>
              <w:t xml:space="preserve">шение долга) Кредитного договора, </w:t>
            </w:r>
          </w:p>
          <w:p w:rsidR="008C77A1" w:rsidRPr="00AA2E93" w:rsidRDefault="008C77A1" w:rsidP="008C77A1">
            <w:pPr>
              <w:pStyle w:val="aa"/>
              <w:tabs>
                <w:tab w:val="left" w:pos="1980"/>
              </w:tabs>
              <w:spacing w:after="0"/>
              <w:ind w:left="459"/>
              <w:jc w:val="both"/>
              <w:rPr>
                <w:b/>
                <w:i/>
                <w:sz w:val="22"/>
                <w:szCs w:val="22"/>
              </w:rPr>
            </w:pPr>
            <w:r w:rsidRPr="00AA2E93">
              <w:rPr>
                <w:b/>
                <w:i/>
                <w:sz w:val="22"/>
                <w:szCs w:val="22"/>
              </w:rPr>
              <w:t>(</w:t>
            </w:r>
            <w:r w:rsidRPr="00AA2E93">
              <w:rPr>
                <w:b/>
                <w:i/>
                <w:sz w:val="22"/>
                <w:szCs w:val="22"/>
                <w:lang w:val="en-US"/>
              </w:rPr>
              <w:t>b</w:t>
            </w:r>
            <w:r>
              <w:rPr>
                <w:b/>
                <w:i/>
                <w:sz w:val="22"/>
                <w:szCs w:val="22"/>
              </w:rPr>
              <w:t xml:space="preserve">) </w:t>
            </w:r>
            <w:r w:rsidRPr="00AA2E93">
              <w:rPr>
                <w:b/>
                <w:i/>
                <w:sz w:val="22"/>
                <w:szCs w:val="22"/>
              </w:rPr>
              <w:t>Транш «Б» по Договору на 4,75 млрд. долл. США подлежит погашению в Дату вступления в силу (в соответствии с определением термина «</w:t>
            </w:r>
            <w:proofErr w:type="spellStart"/>
            <w:r w:rsidRPr="00AA2E93">
              <w:rPr>
                <w:b/>
                <w:i/>
                <w:sz w:val="22"/>
                <w:szCs w:val="22"/>
              </w:rPr>
              <w:t>Effective</w:t>
            </w:r>
            <w:proofErr w:type="spellEnd"/>
            <w:r w:rsidRPr="00AA2E9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A2E93">
              <w:rPr>
                <w:b/>
                <w:i/>
                <w:sz w:val="22"/>
                <w:szCs w:val="22"/>
              </w:rPr>
              <w:t>Date</w:t>
            </w:r>
            <w:proofErr w:type="spellEnd"/>
            <w:r w:rsidRPr="00AA2E93">
              <w:rPr>
                <w:b/>
                <w:i/>
                <w:sz w:val="22"/>
                <w:szCs w:val="22"/>
              </w:rPr>
              <w:t>» в Кредитном договоре) за счет средств, предоставленных в порядке рефинансир</w:t>
            </w:r>
            <w:r w:rsidRPr="00AA2E93">
              <w:rPr>
                <w:b/>
                <w:i/>
                <w:sz w:val="22"/>
                <w:szCs w:val="22"/>
              </w:rPr>
              <w:t>о</w:t>
            </w:r>
            <w:r w:rsidRPr="00AA2E93">
              <w:rPr>
                <w:b/>
                <w:i/>
                <w:sz w:val="22"/>
                <w:szCs w:val="22"/>
              </w:rPr>
              <w:t>вания в рамках Кредита «С»; и</w:t>
            </w:r>
          </w:p>
          <w:p w:rsidR="008C77A1" w:rsidRPr="00AA2E93" w:rsidRDefault="008C77A1" w:rsidP="008C77A1">
            <w:pPr>
              <w:pStyle w:val="aa"/>
              <w:tabs>
                <w:tab w:val="left" w:pos="1980"/>
              </w:tabs>
              <w:spacing w:after="0"/>
              <w:ind w:left="459"/>
              <w:jc w:val="both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</w:rPr>
              <w:t xml:space="preserve">(с) </w:t>
            </w:r>
            <w:r w:rsidRPr="00AA2E93">
              <w:rPr>
                <w:b/>
                <w:i/>
                <w:sz w:val="22"/>
                <w:szCs w:val="22"/>
              </w:rPr>
              <w:t>Кредит «С» подлежит погашению посредством осуществления равных выплат на ежеквартальной основе, начиная с 30 января 2017 года, в порядке, установле</w:t>
            </w:r>
            <w:r w:rsidRPr="00AA2E93">
              <w:rPr>
                <w:b/>
                <w:i/>
                <w:sz w:val="22"/>
                <w:szCs w:val="22"/>
              </w:rPr>
              <w:t>н</w:t>
            </w:r>
            <w:r w:rsidRPr="00AA2E93">
              <w:rPr>
                <w:b/>
                <w:i/>
                <w:sz w:val="22"/>
                <w:szCs w:val="22"/>
              </w:rPr>
              <w:t>ном в статье 5 (Погашение долга) Кредитного договора;</w:t>
            </w:r>
            <w:r w:rsidRPr="00AA2E93">
              <w:rPr>
                <w:b/>
                <w:i/>
                <w:sz w:val="22"/>
                <w:szCs w:val="22"/>
                <w:highlight w:val="yellow"/>
              </w:rPr>
              <w:t xml:space="preserve"> </w:t>
            </w:r>
          </w:p>
          <w:p w:rsidR="008C77A1" w:rsidRPr="00AA2E93" w:rsidRDefault="008C77A1" w:rsidP="008C77A1">
            <w:pPr>
              <w:pStyle w:val="aa"/>
              <w:tabs>
                <w:tab w:val="left" w:pos="1980"/>
              </w:tabs>
              <w:spacing w:after="0"/>
              <w:ind w:left="459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Погашение суммы основного долга может осуществляться путем добровольного или обязательного досрочного погашения в соответствии со статьей 7 (Добровольное пог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а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шение и аннулирование) Кредитного договора. </w:t>
            </w:r>
          </w:p>
          <w:p w:rsidR="008C77A1" w:rsidRPr="00AA2E93" w:rsidRDefault="008C77A1" w:rsidP="008C77A1">
            <w:pPr>
              <w:pStyle w:val="aa"/>
              <w:numPr>
                <w:ilvl w:val="0"/>
                <w:numId w:val="6"/>
              </w:numPr>
              <w:tabs>
                <w:tab w:val="clear" w:pos="720"/>
                <w:tab w:val="num" w:pos="176"/>
                <w:tab w:val="left" w:pos="459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u w:val="single"/>
                <w:lang w:eastAsia="en-US"/>
              </w:rPr>
              <w:t>Процентная ставка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: совокупность Наличной маржи и Маржи капитализации (в соответствии с определениями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Cash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Margin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и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PIK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Margin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договоре, соответственно), а также ставки LIBOR (в отношении кредита в долларах США) и/или ставки EURIBOR (в 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т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ношении кредита в евро) и Обязательных издержек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Mandatory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Cost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» в Кредитном договоре) (если таковые возникнут). </w:t>
            </w:r>
          </w:p>
          <w:p w:rsidR="008C77A1" w:rsidRPr="00AA2E93" w:rsidRDefault="008C77A1" w:rsidP="008C77A1">
            <w:pPr>
              <w:pStyle w:val="aa"/>
              <w:tabs>
                <w:tab w:val="num" w:pos="176"/>
                <w:tab w:val="left" w:pos="459"/>
              </w:tabs>
              <w:spacing w:after="0"/>
              <w:ind w:left="459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Наличная Маржа составляет:</w:t>
            </w:r>
          </w:p>
          <w:p w:rsidR="008C77A1" w:rsidRPr="00AA2E93" w:rsidRDefault="008C77A1" w:rsidP="008C77A1">
            <w:pPr>
              <w:pStyle w:val="aa"/>
              <w:numPr>
                <w:ilvl w:val="0"/>
                <w:numId w:val="7"/>
              </w:numPr>
              <w:tabs>
                <w:tab w:val="clear" w:pos="896"/>
                <w:tab w:val="num" w:pos="176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в отношении Транша «А» по Договору на 4,75 млрд. долл. США и 400 млн. Транша Наличная маржа не должна пр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е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вышать 4,50% годовых и может пересчитываться в зависимости от Коэффицие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н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та Общего объема чистого долга к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EBITDA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(в соответствии с определением те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р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мина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Leverage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Ratio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на дату окончания наиболее недавнего Соответствующего периода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Rel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e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vant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Period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договоре):</w:t>
            </w:r>
          </w:p>
          <w:tbl>
            <w:tblPr>
              <w:tblW w:w="0" w:type="auto"/>
              <w:tblInd w:w="18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79"/>
              <w:gridCol w:w="3150"/>
            </w:tblGrid>
            <w:tr w:rsidR="008C77A1" w:rsidRPr="00AA2E93" w:rsidTr="007979E8">
              <w:tc>
                <w:tcPr>
                  <w:tcW w:w="4779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Коэффициент</w:t>
                  </w:r>
                  <w:r w:rsidRPr="00AA2E93">
                    <w:rPr>
                      <w:rFonts w:eastAsia="SimSun"/>
                      <w:b/>
                      <w:bCs/>
                      <w:i/>
                      <w:sz w:val="22"/>
                      <w:szCs w:val="22"/>
                      <w:lang w:eastAsia="en-US"/>
                    </w:rPr>
                    <w:t xml:space="preserve"> Общего объема чистого долга к EBITDA</w:t>
                  </w:r>
                </w:p>
              </w:tc>
              <w:tc>
                <w:tcPr>
                  <w:tcW w:w="3150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 xml:space="preserve">Размер </w:t>
                  </w:r>
                  <w:r w:rsidRPr="00AA2E93">
                    <w:rPr>
                      <w:rFonts w:eastAsia="SimSun"/>
                      <w:b/>
                      <w:bCs/>
                      <w:i/>
                      <w:sz w:val="22"/>
                      <w:szCs w:val="22"/>
                      <w:lang w:eastAsia="en-US"/>
                    </w:rPr>
                    <w:t xml:space="preserve">Наличной </w:t>
                  </w: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маржи</w:t>
                  </w: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  <w:lang w:val="en-US"/>
                    </w:rPr>
                    <w:t xml:space="preserve"> (%) </w:t>
                  </w: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годовых</w:t>
                  </w:r>
                </w:p>
              </w:tc>
            </w:tr>
            <w:tr w:rsidR="008C77A1" w:rsidRPr="00AA2E93" w:rsidTr="007979E8">
              <w:tc>
                <w:tcPr>
                  <w:tcW w:w="4779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  <w:lang w:val="en-US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Превышает 4,5</w:t>
                  </w: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  <w:lang w:val="en-US"/>
                    </w:rPr>
                    <w:t>:1</w:t>
                  </w:r>
                </w:p>
              </w:tc>
              <w:tc>
                <w:tcPr>
                  <w:tcW w:w="3150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4,50%</w:t>
                  </w:r>
                </w:p>
              </w:tc>
            </w:tr>
            <w:tr w:rsidR="008C77A1" w:rsidRPr="00AA2E93" w:rsidTr="007979E8">
              <w:tc>
                <w:tcPr>
                  <w:tcW w:w="4779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Равен или ниже 4,5:1, но превышает 4:1</w:t>
                  </w:r>
                </w:p>
              </w:tc>
              <w:tc>
                <w:tcPr>
                  <w:tcW w:w="3150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4,25%</w:t>
                  </w:r>
                </w:p>
              </w:tc>
            </w:tr>
            <w:tr w:rsidR="008C77A1" w:rsidRPr="00AA2E93" w:rsidTr="007979E8">
              <w:tc>
                <w:tcPr>
                  <w:tcW w:w="4779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Равен или ниже 4:1, но превышает 3,5:1</w:t>
                  </w:r>
                </w:p>
              </w:tc>
              <w:tc>
                <w:tcPr>
                  <w:tcW w:w="3150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4,00%</w:t>
                  </w:r>
                </w:p>
              </w:tc>
            </w:tr>
            <w:tr w:rsidR="008C77A1" w:rsidRPr="00AA2E93" w:rsidTr="007979E8">
              <w:tc>
                <w:tcPr>
                  <w:tcW w:w="4779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Равен или ниже 3,5:1, но превышает 3:1</w:t>
                  </w:r>
                </w:p>
              </w:tc>
              <w:tc>
                <w:tcPr>
                  <w:tcW w:w="3150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3,60%</w:t>
                  </w:r>
                </w:p>
              </w:tc>
            </w:tr>
            <w:tr w:rsidR="008C77A1" w:rsidRPr="00AA2E93" w:rsidTr="007979E8">
              <w:tc>
                <w:tcPr>
                  <w:tcW w:w="4779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lastRenderedPageBreak/>
                    <w:t>Равен или ниже 3:1</w:t>
                  </w:r>
                </w:p>
              </w:tc>
              <w:tc>
                <w:tcPr>
                  <w:tcW w:w="3150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2,80%</w:t>
                  </w:r>
                </w:p>
              </w:tc>
            </w:tr>
          </w:tbl>
          <w:p w:rsidR="008C77A1" w:rsidRPr="00AA2E93" w:rsidRDefault="008C77A1" w:rsidP="008C77A1">
            <w:pPr>
              <w:pStyle w:val="aa"/>
              <w:numPr>
                <w:ilvl w:val="0"/>
                <w:numId w:val="7"/>
              </w:numPr>
              <w:tabs>
                <w:tab w:val="clear" w:pos="896"/>
                <w:tab w:val="num" w:pos="459"/>
                <w:tab w:val="left" w:pos="885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в отношении Транша «Б» по Договору на 4,75 млрд. долл. США и Кредита «С» Наличная маржа составляет 5,65% годовых,</w:t>
            </w:r>
          </w:p>
          <w:p w:rsidR="008C77A1" w:rsidRPr="00AA2E93" w:rsidRDefault="008C77A1" w:rsidP="008C77A1">
            <w:pPr>
              <w:pStyle w:val="aa"/>
              <w:spacing w:after="0"/>
              <w:ind w:left="459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Маржа капитализации составляет:</w:t>
            </w:r>
          </w:p>
          <w:p w:rsidR="008C77A1" w:rsidRPr="00AA2E93" w:rsidRDefault="008C77A1" w:rsidP="008C77A1">
            <w:pPr>
              <w:pStyle w:val="aa"/>
              <w:numPr>
                <w:ilvl w:val="0"/>
                <w:numId w:val="8"/>
              </w:numPr>
              <w:tabs>
                <w:tab w:val="clear" w:pos="896"/>
                <w:tab w:val="num" w:pos="176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в отношении Транша «А» по Договору на 4,75 млрд. долл. США и 400 млн. Транша Маржа капитализации не должна превышать 1,25% годовых и может пересчитываться в зависимости от Коэфф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и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циента Общего объема чистого долга к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EBITDA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(в соответствии с определением термина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Leverage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Ratio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на дату окончания наиболее недавнего Соответствующего периода (в соответствии с определением термина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GB" w:eastAsia="en-US"/>
              </w:rPr>
              <w:t>Relevant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GB" w:eastAsia="en-US"/>
              </w:rPr>
              <w:t>Period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договоре):</w:t>
            </w:r>
          </w:p>
          <w:tbl>
            <w:tblPr>
              <w:tblW w:w="0" w:type="auto"/>
              <w:tblInd w:w="18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8"/>
              <w:gridCol w:w="3402"/>
            </w:tblGrid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Коэффициент</w:t>
                  </w:r>
                  <w:r w:rsidRPr="00AA2E93">
                    <w:rPr>
                      <w:rFonts w:eastAsia="SimSun"/>
                      <w:b/>
                      <w:bCs/>
                      <w:i/>
                      <w:sz w:val="22"/>
                      <w:szCs w:val="22"/>
                      <w:lang w:eastAsia="en-US"/>
                    </w:rPr>
                    <w:t xml:space="preserve"> Общего объема чистого долга к EBITDA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 xml:space="preserve">Размер </w:t>
                  </w:r>
                  <w:r w:rsidRPr="00AA2E93">
                    <w:rPr>
                      <w:rFonts w:eastAsia="SimSun"/>
                      <w:b/>
                      <w:bCs/>
                      <w:i/>
                      <w:sz w:val="22"/>
                      <w:szCs w:val="22"/>
                      <w:lang w:eastAsia="en-US"/>
                    </w:rPr>
                    <w:t xml:space="preserve">Маржи капитализации </w:t>
                  </w: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  <w:lang w:val="en-US"/>
                    </w:rPr>
                    <w:t xml:space="preserve">(%) </w:t>
                  </w: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годовых</w:t>
                  </w:r>
                </w:p>
              </w:tc>
            </w:tr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  <w:lang w:val="en-US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Превышает 5</w:t>
                  </w: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  <w:lang w:val="en-US"/>
                    </w:rPr>
                    <w:t>:1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1,25%</w:t>
                  </w:r>
                </w:p>
              </w:tc>
            </w:tr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Равен или ниже 5:1, но превышает 4,5:1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0,80%</w:t>
                  </w:r>
                </w:p>
              </w:tc>
            </w:tr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Равен или ниже 4,5:1, но превышает 4:1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0,50%</w:t>
                  </w:r>
                </w:p>
              </w:tc>
            </w:tr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Равен или ниже 4:1, но превышает 3,5:1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0,25%</w:t>
                  </w:r>
                </w:p>
              </w:tc>
            </w:tr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Равен или ниже 3,5:1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0%</w:t>
                  </w:r>
                </w:p>
              </w:tc>
            </w:tr>
          </w:tbl>
          <w:p w:rsidR="008C77A1" w:rsidRPr="00AA2E93" w:rsidRDefault="008C77A1" w:rsidP="008C77A1">
            <w:pPr>
              <w:pStyle w:val="aa"/>
              <w:numPr>
                <w:ilvl w:val="0"/>
                <w:numId w:val="8"/>
              </w:numPr>
              <w:tabs>
                <w:tab w:val="clear" w:pos="896"/>
                <w:tab w:val="num" w:pos="318"/>
                <w:tab w:val="left" w:pos="885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в отношении Транша «Б» по Договору на 4,75 млрд. долл. США и Кредита «С» Маржа капитализации не должна превышать 1,25% г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довых и может пересчитываться в зависимости от Коэффициента Общего объема чистого долга к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EBITDA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(в соответствии с определением термина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Leverage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Ratio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на дату окончания наиболее недавнего Соответствующего периода (в соответствии с определением термина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GB" w:eastAsia="en-US"/>
              </w:rPr>
              <w:t>Relevant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GB" w:eastAsia="en-US"/>
              </w:rPr>
              <w:t>Period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договоре):</w:t>
            </w:r>
          </w:p>
          <w:tbl>
            <w:tblPr>
              <w:tblW w:w="0" w:type="auto"/>
              <w:tblInd w:w="18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8"/>
              <w:gridCol w:w="3402"/>
            </w:tblGrid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Коэффициент</w:t>
                  </w:r>
                  <w:r w:rsidRPr="00AA2E93">
                    <w:rPr>
                      <w:rFonts w:eastAsia="SimSun"/>
                      <w:b/>
                      <w:bCs/>
                      <w:i/>
                      <w:sz w:val="22"/>
                      <w:szCs w:val="22"/>
                      <w:lang w:eastAsia="en-US"/>
                    </w:rPr>
                    <w:t xml:space="preserve"> Общего объема чистого долга к EBITDA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 xml:space="preserve">Размер </w:t>
                  </w:r>
                  <w:r w:rsidRPr="00AA2E93">
                    <w:rPr>
                      <w:rFonts w:eastAsia="SimSun"/>
                      <w:b/>
                      <w:bCs/>
                      <w:i/>
                      <w:sz w:val="22"/>
                      <w:szCs w:val="22"/>
                      <w:lang w:eastAsia="en-US"/>
                    </w:rPr>
                    <w:t xml:space="preserve">Маржи капитализации </w:t>
                  </w: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  <w:lang w:val="en-US"/>
                    </w:rPr>
                    <w:t xml:space="preserve">(%) </w:t>
                  </w: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годовых</w:t>
                  </w:r>
                </w:p>
              </w:tc>
            </w:tr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  <w:lang w:val="en-US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Превышает 5</w:t>
                  </w: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  <w:lang w:val="en-US"/>
                    </w:rPr>
                    <w:t>:1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1,25%</w:t>
                  </w:r>
                </w:p>
              </w:tc>
            </w:tr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Равен или ниже 5:1, но превышает 4,5:1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0,80%</w:t>
                  </w:r>
                </w:p>
              </w:tc>
            </w:tr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Равен или ниже 4,5:1, но превышает 4:1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0,50%</w:t>
                  </w:r>
                </w:p>
              </w:tc>
            </w:tr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Равен или ниже 4:1, но превышает 3,5:1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0,25%</w:t>
                  </w:r>
                </w:p>
              </w:tc>
            </w:tr>
            <w:tr w:rsidR="008C77A1" w:rsidRPr="00AA2E93" w:rsidTr="007979E8">
              <w:tc>
                <w:tcPr>
                  <w:tcW w:w="4698" w:type="dxa"/>
                </w:tcPr>
                <w:p w:rsidR="008C77A1" w:rsidRPr="00AA2E93" w:rsidRDefault="008C77A1" w:rsidP="007979E8">
                  <w:pPr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Равен или ниже 3,5:1</w:t>
                  </w:r>
                </w:p>
              </w:tc>
              <w:tc>
                <w:tcPr>
                  <w:tcW w:w="3402" w:type="dxa"/>
                </w:tcPr>
                <w:p w:rsidR="008C77A1" w:rsidRPr="00AA2E93" w:rsidRDefault="008C77A1" w:rsidP="007979E8">
                  <w:pPr>
                    <w:jc w:val="center"/>
                    <w:rPr>
                      <w:rFonts w:eastAsia="MS Mincho"/>
                      <w:b/>
                      <w:i/>
                      <w:sz w:val="22"/>
                      <w:szCs w:val="22"/>
                    </w:rPr>
                  </w:pPr>
                  <w:r w:rsidRPr="00AA2E93">
                    <w:rPr>
                      <w:rFonts w:eastAsia="MS Mincho"/>
                      <w:b/>
                      <w:i/>
                      <w:sz w:val="22"/>
                      <w:szCs w:val="22"/>
                    </w:rPr>
                    <w:t>0%</w:t>
                  </w:r>
                </w:p>
              </w:tc>
            </w:tr>
          </w:tbl>
          <w:p w:rsidR="008C77A1" w:rsidRPr="00AA2E93" w:rsidRDefault="008C77A1" w:rsidP="008C77A1">
            <w:pPr>
              <w:pStyle w:val="aa"/>
              <w:spacing w:after="0"/>
              <w:ind w:left="459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C77A1" w:rsidRPr="00AA2E93" w:rsidRDefault="008C77A1" w:rsidP="008C77A1">
            <w:pPr>
              <w:pStyle w:val="aa"/>
              <w:numPr>
                <w:ilvl w:val="0"/>
                <w:numId w:val="6"/>
              </w:numPr>
              <w:tabs>
                <w:tab w:val="left" w:pos="1710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u w:val="single"/>
                <w:lang w:eastAsia="en-US"/>
              </w:rPr>
              <w:t>Процентный период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: 3 месяца или иной более короткий период, которые отсчитываются с применимой Даты выборки (в соответствии с определением термина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Utilization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Date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договоре), как может быть согл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а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совано между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United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Company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RUSAL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Plc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и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ING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BANK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N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.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V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. в качестве Агента по кредиту;</w:t>
            </w:r>
          </w:p>
          <w:p w:rsidR="008C77A1" w:rsidRPr="00AA2E93" w:rsidRDefault="008C77A1" w:rsidP="008C77A1">
            <w:pPr>
              <w:pStyle w:val="aa"/>
              <w:numPr>
                <w:ilvl w:val="0"/>
                <w:numId w:val="6"/>
              </w:numPr>
              <w:tabs>
                <w:tab w:val="left" w:pos="1710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u w:val="single"/>
                <w:lang w:eastAsia="en-US"/>
              </w:rPr>
              <w:t>Порядок выплаты процентов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: начисленные проценты (за исключением Маржи капитализации) уплачиваются в последний день соответствующего Процентного периода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Interest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Period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согласно статье 7 (Проценты) Кредитного д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говора;</w:t>
            </w:r>
          </w:p>
          <w:p w:rsidR="008C77A1" w:rsidRPr="00AA2E93" w:rsidRDefault="008C77A1" w:rsidP="008C77A1">
            <w:pPr>
              <w:pStyle w:val="aa"/>
              <w:tabs>
                <w:tab w:val="left" w:pos="1710"/>
              </w:tabs>
              <w:spacing w:after="0"/>
              <w:ind w:left="459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Порядок выплаты Маржи капитализации детально описан в Кредитном договоре;</w:t>
            </w:r>
          </w:p>
          <w:p w:rsidR="008C77A1" w:rsidRPr="00AA2E93" w:rsidRDefault="008C77A1" w:rsidP="008C77A1">
            <w:pPr>
              <w:pStyle w:val="aa"/>
              <w:numPr>
                <w:ilvl w:val="0"/>
                <w:numId w:val="6"/>
              </w:numPr>
              <w:tabs>
                <w:tab w:val="left" w:pos="1710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u w:val="single"/>
                <w:lang w:eastAsia="en-US"/>
              </w:rPr>
              <w:t>Неустойка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: дополнительно 2% годовых к размеру процентной ставки в отношении всех сумм должных, но не выплаченных по Кредитному договору;</w:t>
            </w:r>
          </w:p>
          <w:p w:rsidR="008C77A1" w:rsidRPr="00AA2E93" w:rsidRDefault="008C77A1" w:rsidP="008C77A1">
            <w:pPr>
              <w:pStyle w:val="aa"/>
              <w:numPr>
                <w:ilvl w:val="0"/>
                <w:numId w:val="6"/>
              </w:numPr>
              <w:tabs>
                <w:tab w:val="left" w:pos="1710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u w:val="single"/>
                <w:lang w:eastAsia="en-US"/>
              </w:rPr>
              <w:t>Досрочное погашение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: Агент по кредиту вправе, среди прочего, потребовать досрочн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го погашения общей суммы задолженности и начисленных процентов по Кредитному договору и иным Финансовым документам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Finance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Documents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при наступлении какого-либо Случая н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е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исполнения обязательства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Event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Default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в соответствии со статьей 25 (Случаи неисполнения обязател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ь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ства) Кредитного договора;</w:t>
            </w:r>
          </w:p>
          <w:p w:rsidR="008C77A1" w:rsidRPr="00AA2E93" w:rsidRDefault="008C77A1" w:rsidP="008C77A1">
            <w:pPr>
              <w:pStyle w:val="aa"/>
              <w:numPr>
                <w:ilvl w:val="0"/>
                <w:numId w:val="6"/>
              </w:numPr>
              <w:tabs>
                <w:tab w:val="left" w:pos="1710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u w:val="single"/>
                <w:lang w:eastAsia="en-US"/>
              </w:rPr>
              <w:t>Поручительство и гарантия возмещения Поручителями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: каждый из Поручителей по Кредиту (в соответствии с определением термина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Facility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Guarantor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говоре)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безотзывно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, безусловно и солидарно отвечает за исполнение всех обязательств Обязанными лицами (в соответствии с определением термина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Obligor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 по Финансовым документам (в соответствии с определением термина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Finance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Documents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и обязуется незамедлительно и по требов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а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нию оплатить любые суммы, должные и не уплаченные любым Обязанным лицом в 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т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ношении любого Финансового документа, а также предоставляет гарантию в отнош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е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нии незамедлительного возмещения Финансирующей стороне (в соответствии с опр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е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делением термина «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Finance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Party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любых издержек, убытков и размера ответственности, которые такая Финансирующая сторона может понести в р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е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зультате 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lastRenderedPageBreak/>
              <w:t>неуплаты причитающихся сумм Обязанным лицом по причине неисполним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сти, недействительности или незаконности обязательств такого лица;</w:t>
            </w:r>
          </w:p>
          <w:p w:rsidR="008C77A1" w:rsidRPr="00AA2E93" w:rsidRDefault="008C77A1" w:rsidP="008C77A1">
            <w:pPr>
              <w:pStyle w:val="aa"/>
              <w:numPr>
                <w:ilvl w:val="0"/>
                <w:numId w:val="6"/>
              </w:numPr>
              <w:tabs>
                <w:tab w:val="left" w:pos="1710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u w:val="single"/>
                <w:lang w:eastAsia="en-US"/>
              </w:rPr>
              <w:t>Иные условия финансирования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(в том числе, в отношении комиссии за организацию финансир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вания, налоговых возмещений, различных иных комиссий, порядка досрочного погашения, заверений, гарантий, случаев неисполнения обязательств) предусмотрены в Кредитном договоре и иных Финансовых документах.</w:t>
            </w:r>
          </w:p>
          <w:p w:rsidR="008C77A1" w:rsidRPr="00AA2E93" w:rsidRDefault="008C77A1" w:rsidP="008C77A1">
            <w:pPr>
              <w:pStyle w:val="aa"/>
              <w:numPr>
                <w:ilvl w:val="1"/>
                <w:numId w:val="6"/>
              </w:numPr>
              <w:tabs>
                <w:tab w:val="clear" w:pos="1440"/>
                <w:tab w:val="num" w:pos="176"/>
                <w:tab w:val="left" w:pos="318"/>
              </w:tabs>
              <w:autoSpaceDE/>
              <w:autoSpaceDN/>
              <w:spacing w:after="0"/>
              <w:ind w:left="176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Д</w:t>
            </w:r>
            <w:bookmarkEnd w:id="1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оговоры об изменении договоров банковского счета с изменениями и дополнениями (в соответствии с термином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Direct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Debit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Agreement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(далее – «Договоры об изменении договоров банковского счета», а каждый в отдельности – «Договор об изменении договоров банковского счета»), в соответствии с положениями каждого из которых Общество предоставляет право Агенту по кредиту (в соответствии с термином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Facility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Agent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» в Кредитном договоре) списывать в порядке прямого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дебетования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с заранее данным акцептом денежные средства с соответствующих Счетов сумм к получению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Collection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Accounts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договоре), открытых в Паспортных банках, при наступлении Случая неисполнения обязательства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Event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Default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в размере любых и всех сумм по Обеспеченным обязательствам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Secured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Obligations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договоре), должных и подлежащих уплате любым Обязанным лицом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Obligor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» в Кредитном договоре) в отношении Договора поручительства (как определено ниже), а именно заключение следующих договоров:  </w:t>
            </w:r>
          </w:p>
          <w:p w:rsidR="008C77A1" w:rsidRPr="00AA2E93" w:rsidRDefault="008C77A1" w:rsidP="008C77A1">
            <w:pPr>
              <w:pStyle w:val="aa"/>
              <w:numPr>
                <w:ilvl w:val="1"/>
                <w:numId w:val="5"/>
              </w:numPr>
              <w:tabs>
                <w:tab w:val="left" w:pos="743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Договор об изменении договоров банковского счета, </w:t>
            </w: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заключенный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между Обществом в качестве клиента, Закрытым акционерным обществом «БНП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Париба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качестве Паспортного банка и BNP PARIBAS (SUISSE) SA в качестве Первоначальн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го Агента по кредиту и ING BANK N.V. в качестве действующего Агента по кредиту,</w:t>
            </w:r>
          </w:p>
          <w:p w:rsidR="008C77A1" w:rsidRPr="00AA2E93" w:rsidRDefault="008C77A1" w:rsidP="008C77A1">
            <w:pPr>
              <w:pStyle w:val="aa"/>
              <w:numPr>
                <w:ilvl w:val="1"/>
                <w:numId w:val="5"/>
              </w:numPr>
              <w:tabs>
                <w:tab w:val="left" w:pos="743"/>
              </w:tabs>
              <w:autoSpaceDE/>
              <w:autoSpaceDN/>
              <w:spacing w:after="0"/>
              <w:ind w:left="459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Договор об изменении договоров банковского счета, </w:t>
            </w: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заключенный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между Обществом в качестве клиента, Закрытым акционерным обществом «ИНГ Банк (ЕВРАЗИЯ)» в качестве Паспортного банка и ING BANK N.V. в качестве Агента по кредиту.</w:t>
            </w:r>
          </w:p>
          <w:p w:rsidR="008C77A1" w:rsidRPr="00AA2E93" w:rsidRDefault="008C77A1" w:rsidP="008C77A1">
            <w:pPr>
              <w:pStyle w:val="aa"/>
              <w:numPr>
                <w:ilvl w:val="1"/>
                <w:numId w:val="6"/>
              </w:numPr>
              <w:tabs>
                <w:tab w:val="clear" w:pos="1440"/>
                <w:tab w:val="num" w:pos="176"/>
              </w:tabs>
              <w:autoSpaceDE/>
              <w:autoSpaceDN/>
              <w:spacing w:after="0"/>
              <w:ind w:left="176" w:firstLine="0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Договор поручительства и гарантии возмещения убытков (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Deed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Guarantee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and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Indemnity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) в новой редакции (далее - «Договор поручительства»), </w:t>
            </w: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заключенный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между Обществом, ОАО «РУСАЛ», Открытым акционерным обществом «Объединенная Компания РУСАЛ – Торговый Дом» (далее – ОАО «ОК РУСАЛ – ТД»), ОАО «СУАЛ», ОАО «РУСАЛ Братск», ОАО «РУСАЛ Новокузнецк» и ОАО «РУСАЛ Саяногорск», каждое из которых выступает в качестве Российского поручителя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Russian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Guarantor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» в Кредитном договоре и Договоре поручительства), и ING BANK N.V. в качестве бенефициара по Договору поручительства, в соответствии с положениями которого каждый Российский поручитель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безотзывно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, безусловно и солидарно отвечает за исполнение всех обязательств Обязанными лицами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Obligor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по Финансовым документам (в соответствии с определением термина «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Finance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Documents</w:t>
            </w:r>
            <w:proofErr w:type="spellEnd"/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» в Кредитном договоре) и обязуется незамедлительно и по требованию оплатить любые суммы, должные и не уплаченные любым Обязанным лицом в отношении любого Финансового документа, а также предоставляет гарантию в отношении незамедлительного возмещения ING BANK N.V., который будет выступать бенефициаром по Договору поручительства, любых издержек, убытков и размера ответственности, которые ING BANK N.V. может понести в результате неуплаты причитающихся сумм Обязанным лицом по причине неисполнимости, недействительности или незаконности обязательств такого лица.</w:t>
            </w:r>
          </w:p>
          <w:p w:rsidR="009A5AE8" w:rsidRDefault="009A5AE8" w:rsidP="00FA453E">
            <w:pPr>
              <w:ind w:left="142" w:right="57"/>
              <w:jc w:val="both"/>
              <w:rPr>
                <w:b/>
                <w:i/>
                <w:sz w:val="22"/>
                <w:szCs w:val="22"/>
              </w:rPr>
            </w:pPr>
            <w:r w:rsidRPr="00FA453E">
              <w:rPr>
                <w:sz w:val="22"/>
                <w:szCs w:val="22"/>
              </w:rPr>
              <w:t>2.</w:t>
            </w:r>
            <w:r w:rsidR="00BC5007">
              <w:rPr>
                <w:sz w:val="22"/>
                <w:szCs w:val="22"/>
              </w:rPr>
              <w:t>6</w:t>
            </w:r>
            <w:r w:rsidRPr="00FA453E">
              <w:rPr>
                <w:sz w:val="22"/>
                <w:szCs w:val="22"/>
              </w:rPr>
              <w:t xml:space="preserve">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 или лица, предоставившего обеспечение по облигациям эмитента, которое совершило сделку: </w:t>
            </w:r>
          </w:p>
          <w:p w:rsidR="00766835" w:rsidRPr="00171F94" w:rsidRDefault="00766835" w:rsidP="00766835">
            <w:pPr>
              <w:ind w:left="142" w:right="85"/>
              <w:jc w:val="both"/>
              <w:rPr>
                <w:i/>
                <w:sz w:val="22"/>
                <w:szCs w:val="22"/>
              </w:rPr>
            </w:pPr>
            <w:r w:rsidRPr="00171F94">
              <w:rPr>
                <w:bCs/>
                <w:iCs/>
                <w:sz w:val="22"/>
                <w:szCs w:val="22"/>
              </w:rPr>
              <w:t xml:space="preserve">Срок исполнения обязательств по сделке: </w:t>
            </w:r>
          </w:p>
          <w:p w:rsidR="008C77A1" w:rsidRPr="00AA2E93" w:rsidRDefault="008C77A1" w:rsidP="008C77A1">
            <w:pPr>
              <w:pStyle w:val="aa"/>
              <w:tabs>
                <w:tab w:val="left" w:pos="1710"/>
              </w:tabs>
              <w:autoSpaceDE/>
              <w:autoSpaceDN/>
              <w:spacing w:after="0"/>
              <w:ind w:left="176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окончательный срок погашения Транша «А» по Д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говору на 4,75 млрд. долл. США и 400 млн. Транша наступает 31 декабря 2018 года, при этом задолженность по Траншу «Б» по Договору на 4,75 млрд. долл. США подл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е</w:t>
            </w:r>
            <w:r w:rsidRPr="00AA2E9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жит погашению в Дату вступления в силу за счет средств, предоставленных в порядке рефинансирования в рамках Кредита «С», окончательный срок погашения которо</w:t>
            </w:r>
            <w:r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го наступает 31 декабря 2020 г.</w:t>
            </w:r>
          </w:p>
          <w:p w:rsidR="00280CB6" w:rsidRPr="00280CB6" w:rsidRDefault="00280CB6" w:rsidP="00280CB6">
            <w:pPr>
              <w:ind w:left="142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80CB6">
              <w:rPr>
                <w:sz w:val="22"/>
                <w:szCs w:val="22"/>
              </w:rPr>
              <w:t xml:space="preserve">Стороны сделки: </w:t>
            </w:r>
            <w:r w:rsidRPr="00280CB6">
              <w:rPr>
                <w:b/>
                <w:bCs/>
                <w:i/>
                <w:iCs/>
                <w:sz w:val="22"/>
                <w:szCs w:val="22"/>
              </w:rPr>
              <w:t xml:space="preserve">Открытое акционерное общество «РУСАЛ Красноярский Алюминиевый Завод», BNP PARIBAS (SUISSE) SA, ING BANK N.V, а также поименованные в Кредитном договоре Первоначальные кредиторы, Закрытое акционерное общество «ИНГ Банк (ЕВРАЗИЯ)», Закрытое акционерное общество «БНП </w:t>
            </w:r>
            <w:proofErr w:type="spellStart"/>
            <w:r w:rsidRPr="00280CB6">
              <w:rPr>
                <w:b/>
                <w:bCs/>
                <w:i/>
                <w:iCs/>
                <w:sz w:val="22"/>
                <w:szCs w:val="22"/>
              </w:rPr>
              <w:t>Париба</w:t>
            </w:r>
            <w:proofErr w:type="spellEnd"/>
            <w:r w:rsidRPr="00280CB6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280CB6" w:rsidRPr="00280CB6" w:rsidRDefault="00280CB6" w:rsidP="00280CB6">
            <w:pPr>
              <w:ind w:left="142" w:right="57"/>
              <w:jc w:val="both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280CB6">
              <w:rPr>
                <w:sz w:val="22"/>
                <w:szCs w:val="22"/>
              </w:rPr>
              <w:t>Выгодоприобретатель</w:t>
            </w:r>
            <w:r w:rsidRPr="00280CB6">
              <w:rPr>
                <w:sz w:val="22"/>
                <w:szCs w:val="22"/>
                <w:lang w:val="en-US"/>
              </w:rPr>
              <w:t xml:space="preserve">: </w:t>
            </w:r>
            <w:r w:rsidRPr="00280CB6">
              <w:rPr>
                <w:b/>
                <w:bCs/>
                <w:i/>
                <w:iCs/>
                <w:sz w:val="22"/>
                <w:szCs w:val="22"/>
                <w:lang w:val="en-US"/>
              </w:rPr>
              <w:t>United Company RUSAL Plc.</w:t>
            </w:r>
          </w:p>
          <w:p w:rsidR="00280CB6" w:rsidRPr="00280CB6" w:rsidRDefault="00280CB6" w:rsidP="00280CB6">
            <w:pPr>
              <w:ind w:left="142" w:right="57"/>
              <w:jc w:val="both"/>
              <w:rPr>
                <w:sz w:val="22"/>
                <w:szCs w:val="22"/>
                <w:lang w:val="en-US"/>
              </w:rPr>
            </w:pPr>
            <w:r w:rsidRPr="00280CB6">
              <w:rPr>
                <w:sz w:val="22"/>
                <w:szCs w:val="22"/>
              </w:rPr>
              <w:t>Заинтересованность единственного акционера - ОАО «РУСАЛ».</w:t>
            </w:r>
          </w:p>
          <w:p w:rsidR="009A5AE8" w:rsidRPr="00675F96" w:rsidRDefault="009A5AE8" w:rsidP="00280CB6">
            <w:pPr>
              <w:ind w:left="142" w:right="57"/>
              <w:jc w:val="both"/>
              <w:rPr>
                <w:rFonts w:eastAsia="SimSun"/>
                <w:bCs/>
                <w:sz w:val="22"/>
                <w:szCs w:val="22"/>
                <w:lang w:eastAsia="en-US"/>
              </w:rPr>
            </w:pPr>
            <w:r w:rsidRPr="00675F96">
              <w:rPr>
                <w:rFonts w:eastAsia="SimSun"/>
                <w:bCs/>
                <w:sz w:val="22"/>
                <w:szCs w:val="22"/>
                <w:lang w:eastAsia="en-US"/>
              </w:rPr>
              <w:lastRenderedPageBreak/>
              <w:t xml:space="preserve">Размер сделки в денежном выражении и в процентах от стоимости активов </w:t>
            </w:r>
            <w:r w:rsidR="00C73A01" w:rsidRPr="00675F96">
              <w:rPr>
                <w:sz w:val="22"/>
                <w:szCs w:val="22"/>
              </w:rPr>
              <w:t>лица, предоставившего обеспечение по облигациям эмитента</w:t>
            </w:r>
            <w:r w:rsidRPr="00675F96">
              <w:rPr>
                <w:rFonts w:eastAsia="SimSun"/>
                <w:bCs/>
                <w:sz w:val="22"/>
                <w:szCs w:val="22"/>
                <w:lang w:eastAsia="en-US"/>
              </w:rPr>
              <w:t xml:space="preserve">: </w:t>
            </w:r>
          </w:p>
          <w:p w:rsidR="008C77A1" w:rsidRPr="004A190A" w:rsidRDefault="00675F96" w:rsidP="008C77A1">
            <w:pPr>
              <w:ind w:left="142" w:right="57"/>
              <w:jc w:val="both"/>
              <w:rPr>
                <w:rFonts w:eastAsia="SimSun"/>
                <w:b/>
                <w:i/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502D36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5 150 000 000 (пять миллиардов сто пятьдесят миллионов) долларов США</w:t>
            </w:r>
            <w:r w:rsidRPr="00502D36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или 457.4% от стоимости активов эмитента.</w:t>
            </w:r>
          </w:p>
          <w:p w:rsidR="009A5AE8" w:rsidRPr="00FA453E" w:rsidRDefault="009A5AE8" w:rsidP="00FA453E">
            <w:pPr>
              <w:ind w:left="142" w:right="57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675F96">
              <w:rPr>
                <w:rFonts w:eastAsia="SimSun"/>
                <w:sz w:val="22"/>
                <w:szCs w:val="22"/>
                <w:lang w:eastAsia="en-US"/>
              </w:rPr>
              <w:t>2.</w:t>
            </w:r>
            <w:r w:rsidR="00BC5007" w:rsidRPr="00675F96">
              <w:rPr>
                <w:rFonts w:eastAsia="SimSun"/>
                <w:sz w:val="22"/>
                <w:szCs w:val="22"/>
                <w:lang w:eastAsia="en-US"/>
              </w:rPr>
              <w:t>7</w:t>
            </w:r>
            <w:r w:rsidRPr="00675F96">
              <w:rPr>
                <w:rFonts w:eastAsia="SimSun"/>
                <w:sz w:val="22"/>
                <w:szCs w:val="22"/>
                <w:lang w:eastAsia="en-US"/>
              </w:rPr>
              <w:t xml:space="preserve">. Стоимость активов </w:t>
            </w:r>
            <w:r w:rsidR="00BC5007" w:rsidRPr="00675F96">
              <w:rPr>
                <w:sz w:val="22"/>
                <w:szCs w:val="22"/>
              </w:rPr>
              <w:t>лица, предоставившего обеспечение по облигациям эмитента,</w:t>
            </w:r>
            <w:r w:rsidRPr="00675F96">
              <w:rPr>
                <w:rFonts w:eastAsia="SimSun"/>
                <w:sz w:val="22"/>
                <w:szCs w:val="22"/>
                <w:lang w:eastAsia="en-US"/>
              </w:rPr>
              <w:t xml:space="preserve">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предоставления бухгалтерской (финансовой) отчетности: </w:t>
            </w:r>
            <w:r w:rsidR="00675F96" w:rsidRPr="001443FA">
              <w:rPr>
                <w:rFonts w:eastAsia="SimSun"/>
                <w:b/>
                <w:i/>
                <w:sz w:val="22"/>
                <w:szCs w:val="22"/>
                <w:lang w:eastAsia="en-US"/>
              </w:rPr>
              <w:t>по состоянию на 30.06.2014 г.  – 4</w:t>
            </w:r>
            <w:r w:rsidR="00675F96" w:rsidRPr="002E5CD4">
              <w:rPr>
                <w:rFonts w:eastAsia="SimSun"/>
                <w:b/>
                <w:i/>
                <w:sz w:val="22"/>
                <w:szCs w:val="22"/>
                <w:lang w:eastAsia="en-US"/>
              </w:rPr>
              <w:t>0</w:t>
            </w:r>
            <w:r w:rsidR="00675F96" w:rsidRPr="001443FA">
              <w:rPr>
                <w:rFonts w:eastAsia="SimSun"/>
                <w:b/>
                <w:i/>
                <w:sz w:val="22"/>
                <w:szCs w:val="22"/>
                <w:lang w:val="en-US" w:eastAsia="en-US"/>
              </w:rPr>
              <w:t> </w:t>
            </w:r>
            <w:r w:rsidR="00675F96" w:rsidRPr="002E5CD4">
              <w:rPr>
                <w:rFonts w:eastAsia="SimSun"/>
                <w:b/>
                <w:i/>
                <w:sz w:val="22"/>
                <w:szCs w:val="22"/>
                <w:lang w:eastAsia="en-US"/>
              </w:rPr>
              <w:t>150</w:t>
            </w:r>
            <w:r w:rsidR="00675F96" w:rsidRPr="001443FA">
              <w:rPr>
                <w:rFonts w:eastAsia="SimSun"/>
                <w:b/>
                <w:i/>
                <w:sz w:val="22"/>
                <w:szCs w:val="22"/>
                <w:lang w:val="en-US" w:eastAsia="en-US"/>
              </w:rPr>
              <w:t> </w:t>
            </w:r>
            <w:r w:rsidR="00675F96" w:rsidRPr="002E5CD4">
              <w:rPr>
                <w:rFonts w:eastAsia="SimSun"/>
                <w:b/>
                <w:i/>
                <w:sz w:val="22"/>
                <w:szCs w:val="22"/>
                <w:lang w:eastAsia="en-US"/>
              </w:rPr>
              <w:t>933</w:t>
            </w:r>
            <w:r w:rsidR="00675F96" w:rsidRPr="001443FA">
              <w:rPr>
                <w:rFonts w:eastAsia="SimSun"/>
                <w:b/>
                <w:i/>
                <w:sz w:val="22"/>
                <w:szCs w:val="22"/>
                <w:lang w:val="en-US" w:eastAsia="en-US"/>
              </w:rPr>
              <w:t> </w:t>
            </w:r>
            <w:r w:rsidR="00675F96" w:rsidRPr="002E5CD4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000 </w:t>
            </w:r>
            <w:r w:rsidR="00675F96" w:rsidRPr="001443FA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руб.</w:t>
            </w:r>
          </w:p>
          <w:p w:rsidR="009A5AE8" w:rsidRPr="00FA453E" w:rsidRDefault="009A5AE8" w:rsidP="00FA453E">
            <w:pPr>
              <w:ind w:left="142" w:right="57"/>
              <w:jc w:val="both"/>
              <w:rPr>
                <w:sz w:val="22"/>
                <w:szCs w:val="22"/>
              </w:rPr>
            </w:pPr>
            <w:r w:rsidRPr="00FA453E">
              <w:rPr>
                <w:sz w:val="22"/>
                <w:szCs w:val="22"/>
              </w:rPr>
              <w:t>2.</w:t>
            </w:r>
            <w:r w:rsidR="00BC5007">
              <w:rPr>
                <w:sz w:val="22"/>
                <w:szCs w:val="22"/>
              </w:rPr>
              <w:t>8</w:t>
            </w:r>
            <w:r w:rsidRPr="00FA453E">
              <w:rPr>
                <w:sz w:val="22"/>
                <w:szCs w:val="22"/>
              </w:rPr>
              <w:t xml:space="preserve">. Дата совершения сделки (заключения договора): </w:t>
            </w:r>
            <w:r w:rsidR="00F3348F">
              <w:rPr>
                <w:b/>
                <w:i/>
                <w:sz w:val="22"/>
                <w:szCs w:val="22"/>
              </w:rPr>
              <w:softHyphen/>
            </w:r>
            <w:r w:rsidR="00F3348F">
              <w:rPr>
                <w:b/>
                <w:i/>
                <w:sz w:val="22"/>
                <w:szCs w:val="22"/>
              </w:rPr>
              <w:softHyphen/>
              <w:t>18</w:t>
            </w:r>
            <w:r w:rsidR="008C77A1">
              <w:rPr>
                <w:b/>
                <w:i/>
                <w:sz w:val="22"/>
                <w:szCs w:val="22"/>
              </w:rPr>
              <w:t>.</w:t>
            </w:r>
            <w:r w:rsidRPr="00FA453E">
              <w:rPr>
                <w:b/>
                <w:i/>
                <w:sz w:val="22"/>
                <w:szCs w:val="22"/>
              </w:rPr>
              <w:t>0</w:t>
            </w:r>
            <w:r w:rsidR="004A190A">
              <w:rPr>
                <w:b/>
                <w:i/>
                <w:sz w:val="22"/>
                <w:szCs w:val="22"/>
              </w:rPr>
              <w:t>8</w:t>
            </w:r>
            <w:r w:rsidRPr="00FA453E">
              <w:rPr>
                <w:b/>
                <w:i/>
                <w:sz w:val="22"/>
                <w:szCs w:val="22"/>
              </w:rPr>
              <w:t>.2014.</w:t>
            </w:r>
          </w:p>
          <w:p w:rsidR="009A5AE8" w:rsidRPr="00FA453E" w:rsidRDefault="00BC5007" w:rsidP="00567375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9A5AE8" w:rsidRPr="00FA453E">
              <w:rPr>
                <w:sz w:val="22"/>
                <w:szCs w:val="22"/>
              </w:rPr>
              <w:t>. Сведения об одобрении сделки</w:t>
            </w:r>
            <w:r>
              <w:rPr>
                <w:sz w:val="22"/>
                <w:szCs w:val="22"/>
              </w:rPr>
              <w:t>, когда такая сделка была одобрена уполномоченным органом</w:t>
            </w:r>
            <w:r w:rsidR="00AC291D">
              <w:rPr>
                <w:sz w:val="22"/>
                <w:szCs w:val="22"/>
              </w:rPr>
              <w:t xml:space="preserve"> управления лица, предоставившего</w:t>
            </w:r>
            <w:r>
              <w:rPr>
                <w:sz w:val="22"/>
                <w:szCs w:val="22"/>
              </w:rPr>
              <w:t xml:space="preserve"> обеспечение по облигациям эмитента</w:t>
            </w:r>
            <w:r w:rsidR="009A5AE8" w:rsidRPr="00FA453E">
              <w:rPr>
                <w:sz w:val="22"/>
                <w:szCs w:val="22"/>
              </w:rPr>
              <w:t xml:space="preserve">: </w:t>
            </w:r>
            <w:r w:rsidR="00766835" w:rsidRPr="00FA453E">
              <w:rPr>
                <w:b/>
                <w:i/>
                <w:sz w:val="22"/>
                <w:szCs w:val="22"/>
              </w:rPr>
              <w:t xml:space="preserve">Решение единственного акционера Эмитента б/н от </w:t>
            </w:r>
            <w:r w:rsidR="004A190A">
              <w:rPr>
                <w:b/>
                <w:i/>
                <w:sz w:val="22"/>
                <w:szCs w:val="22"/>
              </w:rPr>
              <w:t>0</w:t>
            </w:r>
            <w:r w:rsidR="00567375" w:rsidRPr="00567375">
              <w:rPr>
                <w:b/>
                <w:i/>
                <w:sz w:val="22"/>
                <w:szCs w:val="22"/>
              </w:rPr>
              <w:t>8</w:t>
            </w:r>
            <w:r w:rsidR="008C77A1" w:rsidRPr="008C77A1">
              <w:rPr>
                <w:b/>
                <w:i/>
                <w:sz w:val="22"/>
                <w:szCs w:val="22"/>
              </w:rPr>
              <w:t>.0</w:t>
            </w:r>
            <w:r w:rsidR="004A190A">
              <w:rPr>
                <w:b/>
                <w:i/>
                <w:sz w:val="22"/>
                <w:szCs w:val="22"/>
              </w:rPr>
              <w:t>8</w:t>
            </w:r>
            <w:r w:rsidR="00766835" w:rsidRPr="008C77A1">
              <w:rPr>
                <w:b/>
                <w:i/>
                <w:sz w:val="22"/>
                <w:szCs w:val="22"/>
              </w:rPr>
              <w:t>.2014.</w:t>
            </w:r>
          </w:p>
        </w:tc>
      </w:tr>
    </w:tbl>
    <w:p w:rsidR="009A5AE8" w:rsidRPr="009A5AE8" w:rsidRDefault="009A5AE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09"/>
        <w:gridCol w:w="993"/>
        <w:gridCol w:w="2551"/>
        <w:gridCol w:w="142"/>
      </w:tblGrid>
      <w:tr w:rsidR="00F82F00" w:rsidRPr="008770DA">
        <w:trPr>
          <w:cantSplit/>
        </w:trPr>
        <w:tc>
          <w:tcPr>
            <w:tcW w:w="9951" w:type="dxa"/>
            <w:gridSpan w:val="5"/>
          </w:tcPr>
          <w:p w:rsidR="00F82F00" w:rsidRPr="008770DA" w:rsidRDefault="00F82F00" w:rsidP="008226CE">
            <w:pPr>
              <w:jc w:val="center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3. Подпись</w:t>
            </w:r>
          </w:p>
        </w:tc>
      </w:tr>
      <w:tr w:rsidR="00F82F00" w:rsidRPr="00877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2F00" w:rsidRPr="008770DA" w:rsidRDefault="00F82F00" w:rsidP="008226CE">
            <w:pPr>
              <w:ind w:left="57"/>
              <w:rPr>
                <w:sz w:val="22"/>
                <w:szCs w:val="22"/>
              </w:rPr>
            </w:pPr>
          </w:p>
          <w:p w:rsidR="00F82F00" w:rsidRPr="008770DA" w:rsidRDefault="00F82F00" w:rsidP="008226CE">
            <w:pPr>
              <w:ind w:left="57"/>
              <w:rPr>
                <w:sz w:val="22"/>
                <w:szCs w:val="22"/>
              </w:rPr>
            </w:pPr>
          </w:p>
          <w:p w:rsidR="00F82F00" w:rsidRPr="008770DA" w:rsidRDefault="00F82F00" w:rsidP="008226CE">
            <w:pPr>
              <w:ind w:left="57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 xml:space="preserve">3.1. </w:t>
            </w:r>
            <w:r w:rsidR="00B764F0" w:rsidRPr="008770DA">
              <w:rPr>
                <w:sz w:val="22"/>
                <w:szCs w:val="22"/>
              </w:rPr>
              <w:t>Управляющий 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2F00" w:rsidRPr="008770DA" w:rsidRDefault="00F82F00" w:rsidP="00822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F00" w:rsidRPr="008770DA" w:rsidRDefault="00F82F00" w:rsidP="008226C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F00" w:rsidRPr="00A5407D" w:rsidRDefault="00A5407D" w:rsidP="008226CE">
            <w:pPr>
              <w:jc w:val="center"/>
              <w:rPr>
                <w:sz w:val="22"/>
                <w:szCs w:val="22"/>
              </w:rPr>
            </w:pPr>
            <w:r w:rsidRPr="00A5407D">
              <w:rPr>
                <w:sz w:val="22"/>
                <w:szCs w:val="22"/>
              </w:rPr>
              <w:t xml:space="preserve">А.Ю. </w:t>
            </w:r>
            <w:proofErr w:type="spellStart"/>
            <w:r w:rsidRPr="00A5407D">
              <w:rPr>
                <w:sz w:val="22"/>
                <w:szCs w:val="22"/>
              </w:rPr>
              <w:t>Волвенкин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F00" w:rsidRPr="008770DA" w:rsidRDefault="00F82F00" w:rsidP="008226CE">
            <w:pPr>
              <w:rPr>
                <w:sz w:val="22"/>
                <w:szCs w:val="22"/>
              </w:rPr>
            </w:pPr>
          </w:p>
        </w:tc>
      </w:tr>
      <w:tr w:rsidR="00F82F00" w:rsidRPr="00877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00" w:rsidRPr="008770DA" w:rsidRDefault="00F82F00" w:rsidP="008226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82F00" w:rsidRPr="008770DA" w:rsidRDefault="00F82F00" w:rsidP="008226CE">
            <w:pPr>
              <w:jc w:val="center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2F00" w:rsidRPr="008770DA" w:rsidRDefault="00F82F00" w:rsidP="008226C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82F00" w:rsidRPr="008770DA" w:rsidRDefault="00F82F00" w:rsidP="008226CE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F00" w:rsidRPr="008770DA" w:rsidRDefault="00F82F00" w:rsidP="008226CE">
            <w:pPr>
              <w:rPr>
                <w:sz w:val="22"/>
                <w:szCs w:val="22"/>
              </w:rPr>
            </w:pPr>
          </w:p>
        </w:tc>
      </w:tr>
      <w:tr w:rsidR="00F82F00" w:rsidRPr="00877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F00" w:rsidRPr="008770DA" w:rsidRDefault="00F82F00" w:rsidP="00567375">
            <w:pPr>
              <w:ind w:left="57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3.2. Дата «</w:t>
            </w:r>
            <w:r w:rsidR="00F3348F">
              <w:rPr>
                <w:sz w:val="22"/>
                <w:szCs w:val="22"/>
              </w:rPr>
              <w:t>18</w:t>
            </w:r>
            <w:r w:rsidRPr="008770DA">
              <w:rPr>
                <w:sz w:val="22"/>
                <w:szCs w:val="22"/>
              </w:rPr>
              <w:t xml:space="preserve">» </w:t>
            </w:r>
            <w:r w:rsidR="004A190A">
              <w:rPr>
                <w:sz w:val="22"/>
                <w:szCs w:val="22"/>
              </w:rPr>
              <w:t>августа</w:t>
            </w:r>
            <w:r w:rsidRPr="008770DA">
              <w:rPr>
                <w:sz w:val="22"/>
                <w:szCs w:val="22"/>
              </w:rPr>
              <w:t xml:space="preserve"> 201</w:t>
            </w:r>
            <w:r w:rsidR="00D26C96">
              <w:rPr>
                <w:sz w:val="22"/>
                <w:szCs w:val="22"/>
              </w:rPr>
              <w:t>4</w:t>
            </w:r>
            <w:r w:rsidRPr="008770D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F00" w:rsidRPr="008770DA" w:rsidRDefault="00F82F00" w:rsidP="008226CE">
            <w:pPr>
              <w:jc w:val="center"/>
              <w:rPr>
                <w:sz w:val="22"/>
                <w:szCs w:val="22"/>
              </w:rPr>
            </w:pPr>
            <w:r w:rsidRPr="008770DA">
              <w:rPr>
                <w:sz w:val="22"/>
                <w:szCs w:val="22"/>
              </w:rPr>
              <w:t>М.П.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F00" w:rsidRPr="008770DA" w:rsidRDefault="00F82F00" w:rsidP="008226CE">
            <w:pPr>
              <w:rPr>
                <w:sz w:val="22"/>
                <w:szCs w:val="22"/>
              </w:rPr>
            </w:pPr>
          </w:p>
        </w:tc>
      </w:tr>
      <w:tr w:rsidR="00F82F00" w:rsidRPr="00877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2F00" w:rsidRPr="008770DA" w:rsidRDefault="00F82F00" w:rsidP="008226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00" w:rsidRPr="008770DA" w:rsidRDefault="00F82F00" w:rsidP="00822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F00" w:rsidRPr="008770DA" w:rsidRDefault="00F82F00" w:rsidP="008226CE">
            <w:pPr>
              <w:rPr>
                <w:sz w:val="22"/>
                <w:szCs w:val="22"/>
              </w:rPr>
            </w:pPr>
          </w:p>
        </w:tc>
      </w:tr>
    </w:tbl>
    <w:p w:rsidR="002A5845" w:rsidRDefault="002A5845" w:rsidP="008226CE">
      <w:pPr>
        <w:rPr>
          <w:sz w:val="24"/>
          <w:szCs w:val="24"/>
        </w:rPr>
      </w:pPr>
    </w:p>
    <w:sectPr w:rsidR="002A5845" w:rsidSect="008226CE">
      <w:headerReference w:type="default" r:id="rId10"/>
      <w:pgSz w:w="11906" w:h="16838"/>
      <w:pgMar w:top="851" w:right="680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76" w:rsidRDefault="004C2A76">
      <w:r>
        <w:separator/>
      </w:r>
    </w:p>
  </w:endnote>
  <w:endnote w:type="continuationSeparator" w:id="0">
    <w:p w:rsidR="004C2A76" w:rsidRDefault="004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76" w:rsidRDefault="004C2A76">
      <w:r>
        <w:separator/>
      </w:r>
    </w:p>
  </w:footnote>
  <w:footnote w:type="continuationSeparator" w:id="0">
    <w:p w:rsidR="004C2A76" w:rsidRDefault="004C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CE" w:rsidRDefault="00F554CE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0E0"/>
    <w:multiLevelType w:val="hybridMultilevel"/>
    <w:tmpl w:val="A708580A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727E4B"/>
    <w:multiLevelType w:val="hybridMultilevel"/>
    <w:tmpl w:val="1658904E"/>
    <w:lvl w:ilvl="0" w:tplc="436A91AC">
      <w:start w:val="1"/>
      <w:numFmt w:val="lowerRoman"/>
      <w:lvlText w:val="(%1)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2">
    <w:nsid w:val="41453269"/>
    <w:multiLevelType w:val="hybridMultilevel"/>
    <w:tmpl w:val="9030EA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2A24B9"/>
    <w:multiLevelType w:val="hybridMultilevel"/>
    <w:tmpl w:val="BB7866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3EFC5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73743C"/>
    <w:multiLevelType w:val="hybridMultilevel"/>
    <w:tmpl w:val="70AABA96"/>
    <w:lvl w:ilvl="0" w:tplc="CBEA523E">
      <w:start w:val="1"/>
      <w:numFmt w:val="lowerRoman"/>
      <w:lvlText w:val="(%1)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5">
    <w:nsid w:val="622D23B8"/>
    <w:multiLevelType w:val="hybridMultilevel"/>
    <w:tmpl w:val="CEB6B63E"/>
    <w:lvl w:ilvl="0" w:tplc="FD10EE7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6CAD7909"/>
    <w:multiLevelType w:val="hybridMultilevel"/>
    <w:tmpl w:val="BE2AD910"/>
    <w:lvl w:ilvl="0" w:tplc="B62070F8">
      <w:start w:val="1"/>
      <w:numFmt w:val="bullet"/>
      <w:lvlText w:val=""/>
      <w:lvlJc w:val="left"/>
      <w:pPr>
        <w:tabs>
          <w:tab w:val="num" w:pos="1069"/>
        </w:tabs>
        <w:ind w:left="10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B912ABB"/>
    <w:multiLevelType w:val="hybridMultilevel"/>
    <w:tmpl w:val="8668B4D6"/>
    <w:lvl w:ilvl="0" w:tplc="922E50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BD"/>
    <w:rsid w:val="00002423"/>
    <w:rsid w:val="0000710D"/>
    <w:rsid w:val="00010B6E"/>
    <w:rsid w:val="00012861"/>
    <w:rsid w:val="000266B2"/>
    <w:rsid w:val="0003041B"/>
    <w:rsid w:val="0003044C"/>
    <w:rsid w:val="000328F9"/>
    <w:rsid w:val="000414E3"/>
    <w:rsid w:val="0004667C"/>
    <w:rsid w:val="000657B5"/>
    <w:rsid w:val="0006602D"/>
    <w:rsid w:val="00067253"/>
    <w:rsid w:val="000834AF"/>
    <w:rsid w:val="00091ED9"/>
    <w:rsid w:val="00096A89"/>
    <w:rsid w:val="00096EE8"/>
    <w:rsid w:val="00097FD0"/>
    <w:rsid w:val="000A4AB1"/>
    <w:rsid w:val="000A4B95"/>
    <w:rsid w:val="000B09A3"/>
    <w:rsid w:val="000B2709"/>
    <w:rsid w:val="000D32A6"/>
    <w:rsid w:val="000D5723"/>
    <w:rsid w:val="000D7D9E"/>
    <w:rsid w:val="000E34F8"/>
    <w:rsid w:val="000F36EA"/>
    <w:rsid w:val="001041DB"/>
    <w:rsid w:val="00113193"/>
    <w:rsid w:val="00126954"/>
    <w:rsid w:val="0013492F"/>
    <w:rsid w:val="001377C0"/>
    <w:rsid w:val="00147DD7"/>
    <w:rsid w:val="00171F94"/>
    <w:rsid w:val="001A2CB8"/>
    <w:rsid w:val="001A3DCC"/>
    <w:rsid w:val="001A54D1"/>
    <w:rsid w:val="001C1BC7"/>
    <w:rsid w:val="0021202A"/>
    <w:rsid w:val="00233B8F"/>
    <w:rsid w:val="0023588B"/>
    <w:rsid w:val="00240CA7"/>
    <w:rsid w:val="00244BD6"/>
    <w:rsid w:val="0025704A"/>
    <w:rsid w:val="00262C7E"/>
    <w:rsid w:val="00265518"/>
    <w:rsid w:val="00280CB6"/>
    <w:rsid w:val="002A5845"/>
    <w:rsid w:val="002C28BD"/>
    <w:rsid w:val="002E5CD4"/>
    <w:rsid w:val="002E5D6B"/>
    <w:rsid w:val="002F3BB9"/>
    <w:rsid w:val="002F6162"/>
    <w:rsid w:val="00306B9A"/>
    <w:rsid w:val="003321D6"/>
    <w:rsid w:val="003337DB"/>
    <w:rsid w:val="00335EE4"/>
    <w:rsid w:val="003433B1"/>
    <w:rsid w:val="00344CC7"/>
    <w:rsid w:val="00353337"/>
    <w:rsid w:val="00364F66"/>
    <w:rsid w:val="00372A4A"/>
    <w:rsid w:val="00380404"/>
    <w:rsid w:val="00397A36"/>
    <w:rsid w:val="003A2790"/>
    <w:rsid w:val="003C11FF"/>
    <w:rsid w:val="003D0CE4"/>
    <w:rsid w:val="003D532E"/>
    <w:rsid w:val="003F4255"/>
    <w:rsid w:val="00422C1C"/>
    <w:rsid w:val="004358B6"/>
    <w:rsid w:val="00441899"/>
    <w:rsid w:val="00444568"/>
    <w:rsid w:val="00456B38"/>
    <w:rsid w:val="0047082A"/>
    <w:rsid w:val="00477A02"/>
    <w:rsid w:val="004A190A"/>
    <w:rsid w:val="004B6043"/>
    <w:rsid w:val="004C2A76"/>
    <w:rsid w:val="005000C5"/>
    <w:rsid w:val="0050292F"/>
    <w:rsid w:val="00564498"/>
    <w:rsid w:val="00565824"/>
    <w:rsid w:val="00567375"/>
    <w:rsid w:val="00570503"/>
    <w:rsid w:val="005A46BB"/>
    <w:rsid w:val="005A4F6B"/>
    <w:rsid w:val="005A501F"/>
    <w:rsid w:val="005D4BBD"/>
    <w:rsid w:val="005F23F6"/>
    <w:rsid w:val="00616575"/>
    <w:rsid w:val="006170DA"/>
    <w:rsid w:val="006337C7"/>
    <w:rsid w:val="006705C1"/>
    <w:rsid w:val="00675F96"/>
    <w:rsid w:val="00681B6F"/>
    <w:rsid w:val="0068479F"/>
    <w:rsid w:val="0068567D"/>
    <w:rsid w:val="006B574C"/>
    <w:rsid w:val="006D4896"/>
    <w:rsid w:val="006F35C7"/>
    <w:rsid w:val="006F3909"/>
    <w:rsid w:val="00702EA5"/>
    <w:rsid w:val="00704A44"/>
    <w:rsid w:val="00724137"/>
    <w:rsid w:val="00745972"/>
    <w:rsid w:val="007622B5"/>
    <w:rsid w:val="00766835"/>
    <w:rsid w:val="00771636"/>
    <w:rsid w:val="00775C99"/>
    <w:rsid w:val="00797942"/>
    <w:rsid w:val="007979E8"/>
    <w:rsid w:val="007A21E0"/>
    <w:rsid w:val="007C1B4D"/>
    <w:rsid w:val="007E4441"/>
    <w:rsid w:val="007E49ED"/>
    <w:rsid w:val="008226CE"/>
    <w:rsid w:val="008243CF"/>
    <w:rsid w:val="0083573C"/>
    <w:rsid w:val="00853865"/>
    <w:rsid w:val="0086246F"/>
    <w:rsid w:val="00862DAB"/>
    <w:rsid w:val="00872E66"/>
    <w:rsid w:val="008770DA"/>
    <w:rsid w:val="00897488"/>
    <w:rsid w:val="008A22BA"/>
    <w:rsid w:val="008B011E"/>
    <w:rsid w:val="008C77A1"/>
    <w:rsid w:val="008D2D54"/>
    <w:rsid w:val="008E3525"/>
    <w:rsid w:val="008E3A84"/>
    <w:rsid w:val="008E4F34"/>
    <w:rsid w:val="009038B9"/>
    <w:rsid w:val="00905CA4"/>
    <w:rsid w:val="0091739E"/>
    <w:rsid w:val="00943EE0"/>
    <w:rsid w:val="00961E21"/>
    <w:rsid w:val="009A5AE8"/>
    <w:rsid w:val="009B53C6"/>
    <w:rsid w:val="009D2A43"/>
    <w:rsid w:val="009D3101"/>
    <w:rsid w:val="00A23A2C"/>
    <w:rsid w:val="00A249D1"/>
    <w:rsid w:val="00A512CF"/>
    <w:rsid w:val="00A5407D"/>
    <w:rsid w:val="00A658FC"/>
    <w:rsid w:val="00A87EA6"/>
    <w:rsid w:val="00A93862"/>
    <w:rsid w:val="00AC1596"/>
    <w:rsid w:val="00AC291D"/>
    <w:rsid w:val="00B27E04"/>
    <w:rsid w:val="00B55D6B"/>
    <w:rsid w:val="00B60222"/>
    <w:rsid w:val="00B65552"/>
    <w:rsid w:val="00B71166"/>
    <w:rsid w:val="00B764F0"/>
    <w:rsid w:val="00BB3E43"/>
    <w:rsid w:val="00BC5007"/>
    <w:rsid w:val="00BC614A"/>
    <w:rsid w:val="00BE5831"/>
    <w:rsid w:val="00C04CCA"/>
    <w:rsid w:val="00C1136E"/>
    <w:rsid w:val="00C16C4F"/>
    <w:rsid w:val="00C17CD0"/>
    <w:rsid w:val="00C41721"/>
    <w:rsid w:val="00C41C52"/>
    <w:rsid w:val="00C44E46"/>
    <w:rsid w:val="00C52C69"/>
    <w:rsid w:val="00C73A01"/>
    <w:rsid w:val="00C8697D"/>
    <w:rsid w:val="00C86A9C"/>
    <w:rsid w:val="00CC2D2F"/>
    <w:rsid w:val="00CD2204"/>
    <w:rsid w:val="00CE2F5D"/>
    <w:rsid w:val="00CF44CF"/>
    <w:rsid w:val="00D20590"/>
    <w:rsid w:val="00D25735"/>
    <w:rsid w:val="00D26C96"/>
    <w:rsid w:val="00D37032"/>
    <w:rsid w:val="00D46E0B"/>
    <w:rsid w:val="00D63C37"/>
    <w:rsid w:val="00D63D4B"/>
    <w:rsid w:val="00D82399"/>
    <w:rsid w:val="00D82418"/>
    <w:rsid w:val="00D863FB"/>
    <w:rsid w:val="00DB327E"/>
    <w:rsid w:val="00DB4B4D"/>
    <w:rsid w:val="00DB5D62"/>
    <w:rsid w:val="00DD15B6"/>
    <w:rsid w:val="00DD5921"/>
    <w:rsid w:val="00DD73F7"/>
    <w:rsid w:val="00DE397C"/>
    <w:rsid w:val="00E21564"/>
    <w:rsid w:val="00E86E91"/>
    <w:rsid w:val="00EB63B0"/>
    <w:rsid w:val="00EC4EAF"/>
    <w:rsid w:val="00EF135E"/>
    <w:rsid w:val="00F3348F"/>
    <w:rsid w:val="00F554CE"/>
    <w:rsid w:val="00F605F3"/>
    <w:rsid w:val="00F82F00"/>
    <w:rsid w:val="00F835F8"/>
    <w:rsid w:val="00F97714"/>
    <w:rsid w:val="00F978AC"/>
    <w:rsid w:val="00FA453E"/>
    <w:rsid w:val="00FB7CF9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942"/>
    <w:pPr>
      <w:autoSpaceDE w:val="0"/>
      <w:autoSpaceDN w:val="0"/>
    </w:pPr>
  </w:style>
  <w:style w:type="paragraph" w:styleId="2">
    <w:name w:val="heading 2"/>
    <w:basedOn w:val="a"/>
    <w:next w:val="a"/>
    <w:link w:val="21"/>
    <w:qFormat/>
    <w:rsid w:val="00797942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1">
    <w:name w:val="Заголовок 2 Знак1"/>
    <w:link w:val="2"/>
    <w:semiHidden/>
    <w:locked/>
    <w:rsid w:val="0079794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797942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797942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7979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797942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79794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797942"/>
    <w:rPr>
      <w:rFonts w:cs="Times New Roman"/>
      <w:sz w:val="20"/>
      <w:szCs w:val="20"/>
    </w:rPr>
  </w:style>
  <w:style w:type="character" w:styleId="a7">
    <w:name w:val="Hyperlink"/>
    <w:rsid w:val="00797942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rsid w:val="00797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7979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semiHidden/>
    <w:locked/>
    <w:rsid w:val="00B76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D82418"/>
    <w:pPr>
      <w:autoSpaceDE/>
      <w:autoSpaceDN/>
      <w:spacing w:after="120"/>
    </w:pPr>
    <w:rPr>
      <w:sz w:val="16"/>
      <w:szCs w:val="16"/>
    </w:rPr>
  </w:style>
  <w:style w:type="paragraph" w:styleId="aa">
    <w:name w:val="Body Text"/>
    <w:basedOn w:val="a"/>
    <w:link w:val="ab"/>
    <w:rsid w:val="00067253"/>
    <w:pPr>
      <w:spacing w:after="120"/>
    </w:pPr>
  </w:style>
  <w:style w:type="paragraph" w:customStyle="1" w:styleId="ListParagraph">
    <w:name w:val="List Paragraph"/>
    <w:basedOn w:val="a"/>
    <w:rsid w:val="009B53C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8226C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link w:val="aa"/>
    <w:rsid w:val="009A5AE8"/>
  </w:style>
  <w:style w:type="paragraph" w:styleId="30">
    <w:name w:val="Body Text Indent 3"/>
    <w:basedOn w:val="a"/>
    <w:rsid w:val="006170DA"/>
    <w:pPr>
      <w:spacing w:after="120"/>
      <w:ind w:left="283"/>
    </w:pPr>
    <w:rPr>
      <w:sz w:val="16"/>
      <w:szCs w:val="16"/>
    </w:rPr>
  </w:style>
  <w:style w:type="paragraph" w:customStyle="1" w:styleId="bt">
    <w:name w:val="Основной текст.bt"/>
    <w:basedOn w:val="a"/>
    <w:rsid w:val="006170DA"/>
    <w:pPr>
      <w:autoSpaceDE/>
      <w:autoSpaceDN/>
      <w:jc w:val="both"/>
    </w:pPr>
    <w:rPr>
      <w:rFonts w:eastAsia="Calibri"/>
      <w:sz w:val="22"/>
    </w:rPr>
  </w:style>
  <w:style w:type="paragraph" w:styleId="ad">
    <w:name w:val="footnote text"/>
    <w:basedOn w:val="a"/>
    <w:rsid w:val="006170DA"/>
    <w:pPr>
      <w:autoSpaceDE/>
      <w:autoSpaceDN/>
    </w:pPr>
    <w:rPr>
      <w:rFonts w:eastAsia="Calibri"/>
    </w:rPr>
  </w:style>
  <w:style w:type="paragraph" w:customStyle="1" w:styleId="210">
    <w:name w:val="Основной текст 21"/>
    <w:basedOn w:val="a"/>
    <w:rsid w:val="00766835"/>
    <w:pPr>
      <w:autoSpaceDE/>
      <w:autoSpaceDN/>
      <w:jc w:val="both"/>
    </w:pPr>
    <w:rPr>
      <w:rFonts w:eastAsia="Calibri"/>
      <w:b/>
      <w:sz w:val="22"/>
    </w:rPr>
  </w:style>
  <w:style w:type="paragraph" w:styleId="ae">
    <w:name w:val="Block Text"/>
    <w:basedOn w:val="a"/>
    <w:uiPriority w:val="99"/>
    <w:rsid w:val="002E5CD4"/>
    <w:pPr>
      <w:ind w:left="85" w:right="85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942"/>
    <w:pPr>
      <w:autoSpaceDE w:val="0"/>
      <w:autoSpaceDN w:val="0"/>
    </w:pPr>
  </w:style>
  <w:style w:type="paragraph" w:styleId="2">
    <w:name w:val="heading 2"/>
    <w:basedOn w:val="a"/>
    <w:next w:val="a"/>
    <w:link w:val="21"/>
    <w:qFormat/>
    <w:rsid w:val="00797942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1">
    <w:name w:val="Заголовок 2 Знак1"/>
    <w:link w:val="2"/>
    <w:semiHidden/>
    <w:locked/>
    <w:rsid w:val="0079794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797942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797942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7979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797942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79794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797942"/>
    <w:rPr>
      <w:rFonts w:cs="Times New Roman"/>
      <w:sz w:val="20"/>
      <w:szCs w:val="20"/>
    </w:rPr>
  </w:style>
  <w:style w:type="character" w:styleId="a7">
    <w:name w:val="Hyperlink"/>
    <w:rsid w:val="00797942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rsid w:val="00797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7979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semiHidden/>
    <w:locked/>
    <w:rsid w:val="00B76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D82418"/>
    <w:pPr>
      <w:autoSpaceDE/>
      <w:autoSpaceDN/>
      <w:spacing w:after="120"/>
    </w:pPr>
    <w:rPr>
      <w:sz w:val="16"/>
      <w:szCs w:val="16"/>
    </w:rPr>
  </w:style>
  <w:style w:type="paragraph" w:styleId="aa">
    <w:name w:val="Body Text"/>
    <w:basedOn w:val="a"/>
    <w:link w:val="ab"/>
    <w:rsid w:val="00067253"/>
    <w:pPr>
      <w:spacing w:after="120"/>
    </w:pPr>
  </w:style>
  <w:style w:type="paragraph" w:customStyle="1" w:styleId="ListParagraph">
    <w:name w:val="List Paragraph"/>
    <w:basedOn w:val="a"/>
    <w:rsid w:val="009B53C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8226C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link w:val="aa"/>
    <w:rsid w:val="009A5AE8"/>
  </w:style>
  <w:style w:type="paragraph" w:styleId="30">
    <w:name w:val="Body Text Indent 3"/>
    <w:basedOn w:val="a"/>
    <w:rsid w:val="006170DA"/>
    <w:pPr>
      <w:spacing w:after="120"/>
      <w:ind w:left="283"/>
    </w:pPr>
    <w:rPr>
      <w:sz w:val="16"/>
      <w:szCs w:val="16"/>
    </w:rPr>
  </w:style>
  <w:style w:type="paragraph" w:customStyle="1" w:styleId="bt">
    <w:name w:val="Основной текст.bt"/>
    <w:basedOn w:val="a"/>
    <w:rsid w:val="006170DA"/>
    <w:pPr>
      <w:autoSpaceDE/>
      <w:autoSpaceDN/>
      <w:jc w:val="both"/>
    </w:pPr>
    <w:rPr>
      <w:rFonts w:eastAsia="Calibri"/>
      <w:sz w:val="22"/>
    </w:rPr>
  </w:style>
  <w:style w:type="paragraph" w:styleId="ad">
    <w:name w:val="footnote text"/>
    <w:basedOn w:val="a"/>
    <w:rsid w:val="006170DA"/>
    <w:pPr>
      <w:autoSpaceDE/>
      <w:autoSpaceDN/>
    </w:pPr>
    <w:rPr>
      <w:rFonts w:eastAsia="Calibri"/>
    </w:rPr>
  </w:style>
  <w:style w:type="paragraph" w:customStyle="1" w:styleId="210">
    <w:name w:val="Основной текст 21"/>
    <w:basedOn w:val="a"/>
    <w:rsid w:val="00766835"/>
    <w:pPr>
      <w:autoSpaceDE/>
      <w:autoSpaceDN/>
      <w:jc w:val="both"/>
    </w:pPr>
    <w:rPr>
      <w:rFonts w:eastAsia="Calibri"/>
      <w:b/>
      <w:sz w:val="22"/>
    </w:rPr>
  </w:style>
  <w:style w:type="paragraph" w:styleId="ae">
    <w:name w:val="Block Text"/>
    <w:basedOn w:val="a"/>
    <w:uiPriority w:val="99"/>
    <w:rsid w:val="002E5CD4"/>
    <w:pPr>
      <w:ind w:left="85" w:right="85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z-rus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17202</CharactersWithSpaces>
  <SharedDoc>false</SharedDoc>
  <HLinks>
    <vt:vector size="12" baseType="variant">
      <vt:variant>
        <vt:i4>1048646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http://www.e-disclosure.ru/portal/company.aspx?id=838</vt:lpwstr>
      </vt:variant>
      <vt:variant>
        <vt:lpwstr/>
      </vt:variant>
      <vt:variant>
        <vt:i4>4849735</vt:i4>
      </vt:variant>
      <vt:variant>
        <vt:i4>0</vt:i4>
      </vt:variant>
      <vt:variant>
        <vt:i4>0</vt:i4>
      </vt:variant>
      <vt:variant>
        <vt:i4>5</vt:i4>
      </vt:variant>
      <vt:variant>
        <vt:lpwstr>http://www.braz-rusal.ru/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keep2ride</cp:lastModifiedBy>
  <cp:revision>2</cp:revision>
  <cp:lastPrinted>2012-11-19T09:32:00Z</cp:lastPrinted>
  <dcterms:created xsi:type="dcterms:W3CDTF">2014-08-18T18:27:00Z</dcterms:created>
  <dcterms:modified xsi:type="dcterms:W3CDTF">2014-08-18T18:27:00Z</dcterms:modified>
</cp:coreProperties>
</file>